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845"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14:paraId="5CC5BDA3">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trHeight w:val="1559" w:hRule="atLeast"/>
          <w:jc w:val="center"/>
        </w:trPr>
        <w:tc>
          <w:tcPr>
            <w:tcW w:w="9302" w:type="dxa"/>
          </w:tcPr>
          <w:p w14:paraId="4DB3B0FB">
            <w:pPr>
              <w:rPr>
                <w:rFonts w:ascii="Times New Roman" w:hAnsi="Times New Roman" w:cs="Times New Roman"/>
              </w:rPr>
            </w:pPr>
            <w:bookmarkStart w:id="0" w:name="_GoBack"/>
            <w:bookmarkEnd w:id="0"/>
          </w:p>
        </w:tc>
      </w:tr>
      <w:tr w14:paraId="48F9B973">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302" w:type="dxa"/>
          </w:tcPr>
          <w:p w14:paraId="4F289C41">
            <w:pPr>
              <w:tabs>
                <w:tab w:val="center" w:pos="4543"/>
              </w:tabs>
              <w:spacing w:line="1100" w:lineRule="exact"/>
              <w:jc w:val="center"/>
              <w:rPr>
                <w:rFonts w:ascii="方正小标宋简体" w:hAnsi="宋体" w:eastAsia="方正小标宋简体"/>
                <w:color w:val="FF3300"/>
                <w:w w:val="68"/>
                <w:sz w:val="104"/>
                <w:szCs w:val="104"/>
              </w:rPr>
            </w:pPr>
            <w:r>
              <w:rPr>
                <w:rFonts w:hint="eastAsia" w:ascii="方正小标宋简体" w:hAnsi="宋体" w:eastAsia="方正小标宋简体"/>
                <w:color w:val="FF3300"/>
                <w:spacing w:val="120"/>
                <w:w w:val="68"/>
                <w:sz w:val="104"/>
                <w:szCs w:val="104"/>
              </w:rPr>
              <w:t>华南农业大学文</w:t>
            </w:r>
            <w:r>
              <w:rPr>
                <w:rFonts w:hint="eastAsia" w:ascii="方正小标宋简体" w:hAnsi="宋体" w:eastAsia="方正小标宋简体"/>
                <w:color w:val="FF3300"/>
                <w:w w:val="68"/>
                <w:sz w:val="104"/>
                <w:szCs w:val="104"/>
              </w:rPr>
              <w:t>件</w:t>
            </w:r>
          </w:p>
        </w:tc>
      </w:tr>
      <w:tr w14:paraId="1718F041">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9302" w:type="dxa"/>
            <w:shd w:val="clear" w:color="auto" w:fill="auto"/>
          </w:tcPr>
          <w:p w14:paraId="5A8FA7D5">
            <w:pPr>
              <w:spacing w:line="560" w:lineRule="exact"/>
              <w:jc w:val="center"/>
              <w:rPr>
                <w:sz w:val="32"/>
              </w:rPr>
            </w:pPr>
          </w:p>
          <w:p w14:paraId="191DAB18">
            <w:pPr>
              <w:spacing w:line="560" w:lineRule="exact"/>
              <w:jc w:val="center"/>
              <w:rPr>
                <w:sz w:val="32"/>
              </w:rPr>
            </w:pPr>
            <w:r>
              <w:rPr>
                <w:rFonts w:hint="eastAsia"/>
                <w:sz w:val="32"/>
              </w:rPr>
              <w:t>华南农办〔</w:t>
            </w:r>
            <w:r>
              <w:rPr>
                <w:rFonts w:ascii="Times New Roman" w:hAnsi="Times New Roman" w:cs="Times New Roman"/>
                <w:sz w:val="32"/>
              </w:rPr>
              <w:t>2025</w:t>
            </w:r>
            <w:r>
              <w:rPr>
                <w:rFonts w:hint="eastAsia"/>
                <w:sz w:val="32"/>
              </w:rPr>
              <w:t>〕</w:t>
            </w:r>
            <w:r>
              <w:rPr>
                <w:rFonts w:ascii="Times New Roman" w:hAnsi="Times New Roman" w:cs="Times New Roman"/>
                <w:sz w:val="32"/>
              </w:rPr>
              <w:t>15</w:t>
            </w:r>
            <w:r>
              <w:rPr>
                <w:rFonts w:hint="eastAsia"/>
                <w:sz w:val="32"/>
              </w:rPr>
              <w:t>号</w:t>
            </w:r>
          </w:p>
        </w:tc>
      </w:tr>
    </w:tbl>
    <w:p w14:paraId="22B99B9A">
      <w:pPr>
        <w:spacing w:line="500" w:lineRule="exact"/>
        <w:rPr>
          <w:b/>
          <w:bCs/>
          <w:sz w:val="28"/>
        </w:rPr>
      </w:pPr>
    </w:p>
    <w:p w14:paraId="180613A1">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关于印发《华南农业大学纵向科研资金</w:t>
      </w:r>
    </w:p>
    <w:p w14:paraId="5618D5C8">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管理办法（</w:t>
      </w:r>
      <w:r>
        <w:rPr>
          <w:rFonts w:hint="eastAsia" w:ascii="方正小标宋简体" w:eastAsia="方正小标宋简体"/>
          <w:sz w:val="44"/>
          <w:szCs w:val="44"/>
          <w:lang w:val="en-US"/>
        </w:rPr>
        <w:t>试行</w:t>
      </w:r>
      <w:r>
        <w:rPr>
          <w:rFonts w:hint="eastAsia" w:ascii="方正小标宋简体" w:eastAsia="方正小标宋简体"/>
          <w:sz w:val="44"/>
          <w:szCs w:val="44"/>
        </w:rPr>
        <w:t>）》的通知</w:t>
      </w:r>
    </w:p>
    <w:p w14:paraId="34F24C69">
      <w:pPr>
        <w:spacing w:line="560" w:lineRule="exact"/>
        <w:jc w:val="both"/>
        <w:rPr>
          <w:rFonts w:ascii="楷体_GB2312" w:eastAsia="楷体_GB2312"/>
          <w:color w:val="000000" w:themeColor="text1"/>
          <w:sz w:val="32"/>
          <w:szCs w:val="32"/>
        </w:rPr>
      </w:pPr>
    </w:p>
    <w:p w14:paraId="50B1611D">
      <w:pPr>
        <w:spacing w:line="560" w:lineRule="exact"/>
        <w:jc w:val="both"/>
        <w:rPr>
          <w:rFonts w:ascii="楷体_GB2312" w:eastAsia="楷体_GB2312"/>
          <w:color w:val="000000" w:themeColor="text1"/>
          <w:sz w:val="32"/>
          <w:szCs w:val="32"/>
        </w:rPr>
      </w:pPr>
      <w:r>
        <w:rPr>
          <w:rFonts w:hint="eastAsia" w:ascii="楷体_GB2312" w:eastAsia="楷体_GB2312"/>
          <w:color w:val="000000" w:themeColor="text1"/>
          <w:sz w:val="32"/>
          <w:szCs w:val="32"/>
        </w:rPr>
        <w:t>各学院、部处、各单位：</w:t>
      </w:r>
    </w:p>
    <w:p w14:paraId="75A7CA56">
      <w:pPr>
        <w:spacing w:line="560" w:lineRule="exact"/>
        <w:ind w:firstLine="640" w:firstLineChars="200"/>
        <w:jc w:val="both"/>
        <w:rPr>
          <w:rFonts w:ascii="楷体_GB2312" w:eastAsia="楷体_GB2312"/>
          <w:color w:val="000000" w:themeColor="text1"/>
          <w:sz w:val="32"/>
          <w:szCs w:val="32"/>
        </w:rPr>
      </w:pPr>
      <w:r>
        <w:rPr>
          <w:rFonts w:hint="eastAsia" w:ascii="楷体_GB2312" w:eastAsia="楷体_GB2312"/>
          <w:color w:val="000000" w:themeColor="text1"/>
          <w:sz w:val="32"/>
          <w:szCs w:val="32"/>
        </w:rPr>
        <w:t>《华南农业大学纵向科研资金管理办法（试</w:t>
      </w:r>
      <w:r>
        <w:rPr>
          <w:rFonts w:hint="eastAsia" w:ascii="楷体_GB2312" w:eastAsia="楷体_GB2312"/>
          <w:color w:val="000000" w:themeColor="text1"/>
          <w:sz w:val="32"/>
          <w:szCs w:val="32"/>
          <w:lang w:val="en-US"/>
        </w:rPr>
        <w:t>行</w:t>
      </w:r>
      <w:r>
        <w:rPr>
          <w:rFonts w:hint="eastAsia" w:ascii="楷体_GB2312" w:eastAsia="楷体_GB2312"/>
          <w:color w:val="000000" w:themeColor="text1"/>
          <w:sz w:val="32"/>
          <w:szCs w:val="32"/>
        </w:rPr>
        <w:t>）》已经学校</w:t>
      </w:r>
      <w:r>
        <w:rPr>
          <w:rFonts w:ascii="Times New Roman" w:hAnsi="Times New Roman" w:eastAsia="楷体_GB2312" w:cs="Times New Roman"/>
          <w:color w:val="000000" w:themeColor="text1"/>
          <w:sz w:val="32"/>
          <w:szCs w:val="32"/>
        </w:rPr>
        <w:t>202</w:t>
      </w:r>
      <w:r>
        <w:rPr>
          <w:rFonts w:ascii="Times New Roman" w:hAnsi="Times New Roman" w:eastAsia="楷体_GB2312" w:cs="Times New Roman"/>
          <w:color w:val="000000" w:themeColor="text1"/>
          <w:sz w:val="32"/>
          <w:szCs w:val="32"/>
          <w:lang w:val="en-US"/>
        </w:rPr>
        <w:t>5</w:t>
      </w:r>
      <w:r>
        <w:rPr>
          <w:rFonts w:hint="eastAsia" w:ascii="楷体_GB2312" w:eastAsia="楷体_GB2312"/>
          <w:color w:val="000000" w:themeColor="text1"/>
          <w:sz w:val="32"/>
          <w:szCs w:val="32"/>
        </w:rPr>
        <w:t>年第</w:t>
      </w:r>
      <w:r>
        <w:rPr>
          <w:rFonts w:ascii="Times New Roman" w:hAnsi="Times New Roman" w:eastAsia="楷体_GB2312" w:cs="Times New Roman"/>
          <w:color w:val="000000" w:themeColor="text1"/>
          <w:sz w:val="32"/>
          <w:szCs w:val="32"/>
          <w:lang w:val="en-US"/>
        </w:rPr>
        <w:t>1</w:t>
      </w:r>
      <w:r>
        <w:rPr>
          <w:rFonts w:hint="eastAsia" w:ascii="楷体_GB2312" w:eastAsia="楷体_GB2312"/>
          <w:color w:val="000000" w:themeColor="text1"/>
          <w:sz w:val="32"/>
          <w:szCs w:val="32"/>
        </w:rPr>
        <w:t>次校长办公会议讨论通过，现予印发，请遵照执行。</w:t>
      </w:r>
    </w:p>
    <w:p w14:paraId="57F074FE">
      <w:pPr>
        <w:spacing w:line="560" w:lineRule="exact"/>
        <w:jc w:val="both"/>
        <w:rPr>
          <w:rFonts w:ascii="楷体_GB2312" w:eastAsia="楷体_GB2312"/>
          <w:color w:val="000000" w:themeColor="text1"/>
        </w:rPr>
      </w:pPr>
    </w:p>
    <w:p w14:paraId="3CC83D06">
      <w:pPr>
        <w:spacing w:line="560" w:lineRule="exact"/>
        <w:rPr>
          <w:rFonts w:ascii="楷体_GB2312" w:eastAsia="楷体_GB2312"/>
          <w:color w:val="000000" w:themeColor="text1"/>
        </w:rPr>
      </w:pPr>
    </w:p>
    <w:p w14:paraId="247AD06C">
      <w:pPr>
        <w:autoSpaceDE/>
        <w:autoSpaceDN/>
        <w:spacing w:line="560" w:lineRule="exact"/>
        <w:jc w:val="both"/>
        <w:rPr>
          <w:rFonts w:ascii="楷体_GB2312" w:hAnsi="Times New Roman" w:eastAsia="楷体_GB2312" w:cs="Times New Roman"/>
          <w:kern w:val="2"/>
          <w:sz w:val="21"/>
          <w:szCs w:val="24"/>
          <w:lang w:val="en-US" w:bidi="ar-SA"/>
        </w:rPr>
      </w:pPr>
    </w:p>
    <w:p w14:paraId="08CB6504">
      <w:pPr>
        <w:autoSpaceDE/>
        <w:autoSpaceDN/>
        <w:spacing w:line="560" w:lineRule="exact"/>
        <w:ind w:firstLine="5667" w:firstLineChars="1771"/>
        <w:jc w:val="both"/>
        <w:rPr>
          <w:rFonts w:ascii="楷体_GB2312" w:hAnsi="Times New Roman" w:eastAsia="楷体_GB2312" w:cs="Times New Roman"/>
          <w:kern w:val="2"/>
          <w:sz w:val="32"/>
          <w:szCs w:val="32"/>
          <w:lang w:val="en-US" w:bidi="ar-SA"/>
        </w:rPr>
      </w:pPr>
      <w:r>
        <w:rPr>
          <w:rFonts w:hint="eastAsia" w:ascii="楷体_GB2312" w:hAnsi="Times New Roman" w:eastAsia="楷体_GB2312" w:cs="Times New Roman"/>
          <w:kern w:val="2"/>
          <w:sz w:val="32"/>
          <w:szCs w:val="32"/>
          <w:lang w:val="en-US" w:bidi="ar-SA"/>
        </w:rPr>
        <w:t>华南农业大学</w:t>
      </w:r>
    </w:p>
    <w:p w14:paraId="66873FE2">
      <w:pPr>
        <w:autoSpaceDE/>
        <w:autoSpaceDN/>
        <w:spacing w:line="560" w:lineRule="exact"/>
        <w:ind w:right="1049" w:rightChars="477" w:firstLine="3260" w:firstLineChars="1019"/>
        <w:jc w:val="right"/>
        <w:rPr>
          <w:rFonts w:ascii="楷体_GB2312" w:hAnsi="Times New Roman" w:eastAsia="楷体_GB2312" w:cs="Times New Roman"/>
          <w:kern w:val="2"/>
          <w:sz w:val="32"/>
          <w:lang w:val="en-US" w:bidi="ar-SA"/>
        </w:rPr>
      </w:pPr>
      <w:r>
        <w:rPr>
          <w:rFonts w:ascii="Times New Roman" w:hAnsi="Times New Roman" w:eastAsia="楷体_GB2312" w:cs="Times New Roman"/>
          <w:kern w:val="2"/>
          <w:sz w:val="32"/>
          <w:szCs w:val="24"/>
          <w:lang w:val="en-US" w:bidi="ar-SA"/>
        </w:rPr>
        <w:t>2025</w:t>
      </w:r>
      <w:r>
        <w:rPr>
          <w:rFonts w:hint="eastAsia" w:ascii="楷体_GB2312" w:hAnsi="Times New Roman" w:eastAsia="楷体_GB2312" w:cs="Times New Roman"/>
          <w:kern w:val="2"/>
          <w:sz w:val="32"/>
          <w:szCs w:val="24"/>
          <w:lang w:val="en-US" w:bidi="ar-SA"/>
        </w:rPr>
        <w:t>年</w:t>
      </w:r>
      <w:r>
        <w:rPr>
          <w:rFonts w:ascii="Times New Roman" w:hAnsi="Times New Roman" w:eastAsia="楷体_GB2312" w:cs="Times New Roman"/>
          <w:kern w:val="2"/>
          <w:sz w:val="32"/>
          <w:szCs w:val="24"/>
          <w:lang w:val="en-US" w:bidi="ar-SA"/>
        </w:rPr>
        <w:t>3</w:t>
      </w:r>
      <w:r>
        <w:rPr>
          <w:rFonts w:hint="eastAsia" w:ascii="楷体_GB2312" w:hAnsi="Times New Roman" w:eastAsia="楷体_GB2312" w:cs="Times New Roman"/>
          <w:kern w:val="2"/>
          <w:sz w:val="32"/>
          <w:szCs w:val="24"/>
          <w:lang w:val="en-US" w:bidi="ar-SA"/>
        </w:rPr>
        <w:t>月</w:t>
      </w:r>
      <w:r>
        <w:rPr>
          <w:rFonts w:ascii="Times New Roman" w:hAnsi="Times New Roman" w:eastAsia="楷体_GB2312" w:cs="Times New Roman"/>
          <w:kern w:val="2"/>
          <w:sz w:val="32"/>
          <w:szCs w:val="24"/>
          <w:lang w:val="en-US" w:bidi="ar-SA"/>
        </w:rPr>
        <w:t>3</w:t>
      </w:r>
      <w:r>
        <w:rPr>
          <w:rFonts w:hint="eastAsia" w:ascii="楷体_GB2312" w:hAnsi="Times New Roman" w:eastAsia="楷体_GB2312" w:cs="Times New Roman"/>
          <w:kern w:val="2"/>
          <w:sz w:val="32"/>
          <w:szCs w:val="24"/>
          <w:lang w:val="en-US" w:bidi="ar-SA"/>
        </w:rPr>
        <w:t>日</w:t>
      </w:r>
    </w:p>
    <w:p w14:paraId="0DB605F7">
      <w:pPr>
        <w:widowControl/>
        <w:spacing w:line="360" w:lineRule="auto"/>
        <w:rPr>
          <w:sz w:val="32"/>
        </w:rPr>
      </w:pPr>
    </w:p>
    <w:p w14:paraId="78D71FC6">
      <w:pPr>
        <w:widowControl/>
        <w:autoSpaceDE/>
        <w:autoSpaceDN/>
        <w:rPr>
          <w:rFonts w:hAnsi="宋体" w:cs="宋体"/>
          <w:sz w:val="32"/>
          <w:szCs w:val="32"/>
        </w:rPr>
      </w:pPr>
      <w:r>
        <w:rPr>
          <w:rFonts w:hAnsi="宋体" w:cs="宋体"/>
          <w:sz w:val="32"/>
          <w:szCs w:val="32"/>
        </w:rPr>
        <w:br w:type="page"/>
      </w:r>
    </w:p>
    <w:p w14:paraId="6E6F9159">
      <w:pPr>
        <w:spacing w:before="38"/>
        <w:ind w:left="-2" w:leftChars="-1" w:right="59" w:firstLine="2"/>
        <w:jc w:val="center"/>
        <w:rPr>
          <w:rFonts w:ascii="方正小标宋简体" w:eastAsia="方正小标宋简体"/>
          <w:sz w:val="44"/>
          <w:szCs w:val="44"/>
        </w:rPr>
      </w:pPr>
      <w:r>
        <w:rPr>
          <w:rFonts w:hint="eastAsia" w:ascii="方正小标宋简体" w:eastAsia="方正小标宋简体"/>
          <w:sz w:val="44"/>
          <w:szCs w:val="44"/>
        </w:rPr>
        <w:t>华南农业大学纵向科研资金管理办法</w:t>
      </w:r>
    </w:p>
    <w:p w14:paraId="065151FA">
      <w:pPr>
        <w:spacing w:before="38"/>
        <w:ind w:left="-2" w:leftChars="-1" w:right="59" w:firstLine="2"/>
        <w:jc w:val="center"/>
        <w:rPr>
          <w:rFonts w:ascii="方正小标宋简体" w:eastAsia="方正小标宋简体"/>
          <w:sz w:val="44"/>
          <w:szCs w:val="44"/>
        </w:rPr>
      </w:pPr>
      <w:r>
        <w:rPr>
          <w:rFonts w:hint="eastAsia" w:ascii="方正小标宋简体" w:eastAsia="方正小标宋简体"/>
          <w:sz w:val="44"/>
          <w:szCs w:val="44"/>
        </w:rPr>
        <w:t>（试行）</w:t>
      </w:r>
    </w:p>
    <w:p w14:paraId="7F24BB46">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第一章  总  则</w:t>
      </w:r>
    </w:p>
    <w:p w14:paraId="4C9D6639">
      <w:pPr>
        <w:pStyle w:val="5"/>
        <w:spacing w:line="560" w:lineRule="exact"/>
        <w:ind w:firstLine="643" w:firstLineChars="200"/>
        <w:jc w:val="both"/>
        <w:rPr>
          <w:spacing w:val="-11"/>
        </w:rPr>
      </w:pPr>
      <w:r>
        <w:rPr>
          <w:b/>
        </w:rPr>
        <w:t>第一条</w:t>
      </w:r>
      <w:r>
        <w:rPr>
          <w:rFonts w:hint="eastAsia"/>
          <w:b/>
          <w:lang w:val="en-US"/>
        </w:rPr>
        <w:t xml:space="preserve">  </w:t>
      </w:r>
      <w:r>
        <w:rPr>
          <w:rFonts w:hint="eastAsia"/>
          <w:spacing w:val="-8"/>
        </w:rPr>
        <w:t>为贯彻落实党和国家关于科技体制改革的决策部署</w:t>
      </w:r>
      <w:r>
        <w:rPr>
          <w:rFonts w:hint="eastAsia"/>
          <w:spacing w:val="-8"/>
          <w:lang w:val="en-US"/>
        </w:rPr>
        <w:t>,</w:t>
      </w:r>
      <w:r>
        <w:rPr>
          <w:rFonts w:hint="eastAsia"/>
          <w:spacing w:val="-8"/>
        </w:rPr>
        <w:t>进一步减轻科研人员负担、激发创新活力</w:t>
      </w:r>
      <w:r>
        <w:rPr>
          <w:rFonts w:hint="eastAsia"/>
          <w:spacing w:val="-8"/>
          <w:lang w:val="en-US"/>
        </w:rPr>
        <w:t>,提高资金使用效益，</w:t>
      </w:r>
      <w:r>
        <w:rPr>
          <w:rFonts w:hint="eastAsia"/>
          <w:spacing w:val="-8"/>
        </w:rPr>
        <w:t>促进学校科研事业持续、健康发展，根据《国务院办公厅</w:t>
      </w:r>
      <w:r>
        <w:rPr>
          <w:rFonts w:hint="eastAsia"/>
          <w:spacing w:val="-12"/>
        </w:rPr>
        <w:t>关于改革完善中央财政科研经费管理的若干意见》（国办发〔</w:t>
      </w:r>
      <w:r>
        <w:rPr>
          <w:rFonts w:ascii="Times New Roman" w:hAnsi="Times New Roman" w:cs="Times New Roman"/>
          <w:spacing w:val="-12"/>
        </w:rPr>
        <w:t>2021</w:t>
      </w:r>
      <w:r>
        <w:rPr>
          <w:rFonts w:hint="eastAsia"/>
          <w:spacing w:val="-12"/>
        </w:rPr>
        <w:t>〕</w:t>
      </w:r>
      <w:r>
        <w:rPr>
          <w:rFonts w:ascii="Times New Roman" w:hAnsi="Times New Roman" w:cs="Times New Roman"/>
          <w:spacing w:val="-12"/>
        </w:rPr>
        <w:t>32</w:t>
      </w:r>
      <w:r>
        <w:rPr>
          <w:rFonts w:hint="eastAsia"/>
          <w:spacing w:val="-12"/>
        </w:rPr>
        <w:t>号）、</w:t>
      </w:r>
      <w:r>
        <w:rPr>
          <w:rFonts w:hint="eastAsia"/>
        </w:rPr>
        <w:t>《国家社会科学基金项目资金管理办法》（财教</w:t>
      </w:r>
      <w:r>
        <w:rPr>
          <w:rFonts w:hint="eastAsia"/>
          <w:spacing w:val="-12"/>
        </w:rPr>
        <w:t>〔</w:t>
      </w:r>
      <w:r>
        <w:rPr>
          <w:rFonts w:ascii="Times New Roman" w:hAnsi="Times New Roman" w:cs="Times New Roman"/>
          <w:spacing w:val="-12"/>
        </w:rPr>
        <w:t>2021</w:t>
      </w:r>
      <w:r>
        <w:rPr>
          <w:rFonts w:hint="eastAsia"/>
          <w:spacing w:val="-12"/>
        </w:rPr>
        <w:t>〕</w:t>
      </w:r>
      <w:r>
        <w:rPr>
          <w:rFonts w:ascii="Times New Roman" w:hAnsi="Times New Roman" w:cs="Times New Roman"/>
        </w:rPr>
        <w:t>2</w:t>
      </w:r>
      <w:r>
        <w:rPr>
          <w:rFonts w:ascii="Times New Roman" w:hAnsi="Times New Roman" w:cs="Times New Roman"/>
          <w:lang w:val="en-US"/>
        </w:rPr>
        <w:t>37</w:t>
      </w:r>
      <w:r>
        <w:rPr>
          <w:rFonts w:hint="eastAsia"/>
        </w:rPr>
        <w:t>）、</w:t>
      </w:r>
      <w:r>
        <w:rPr>
          <w:rFonts w:hint="eastAsia"/>
          <w:spacing w:val="-12"/>
        </w:rPr>
        <w:t>《广东省人民政府办公厅关于改革完善省级财政科研经费使用管理的实施意见》（粤府办〔</w:t>
      </w:r>
      <w:r>
        <w:rPr>
          <w:rFonts w:ascii="Times New Roman" w:hAnsi="Times New Roman" w:cs="Times New Roman"/>
          <w:spacing w:val="-12"/>
        </w:rPr>
        <w:t>2022</w:t>
      </w:r>
      <w:r>
        <w:rPr>
          <w:rFonts w:hint="eastAsia"/>
          <w:spacing w:val="-12"/>
        </w:rPr>
        <w:t>〕</w:t>
      </w:r>
      <w:r>
        <w:rPr>
          <w:rFonts w:ascii="Times New Roman" w:hAnsi="Times New Roman" w:cs="Times New Roman"/>
          <w:spacing w:val="-12"/>
        </w:rPr>
        <w:t>14</w:t>
      </w:r>
      <w:r>
        <w:rPr>
          <w:rFonts w:hint="eastAsia"/>
          <w:spacing w:val="-12"/>
        </w:rPr>
        <w:t>号）、《省级财政科研项目资金管理监督办法（</w:t>
      </w:r>
      <w:r>
        <w:rPr>
          <w:rFonts w:ascii="Times New Roman" w:hAnsi="Times New Roman" w:cs="Times New Roman"/>
          <w:spacing w:val="-12"/>
        </w:rPr>
        <w:t>2023</w:t>
      </w:r>
      <w:r>
        <w:rPr>
          <w:rFonts w:hint="eastAsia"/>
          <w:spacing w:val="-12"/>
        </w:rPr>
        <w:t>年修订）》</w:t>
      </w:r>
      <w:r>
        <w:rPr>
          <w:rFonts w:hint="eastAsia"/>
          <w:spacing w:val="-12"/>
          <w:lang w:val="en-US"/>
        </w:rPr>
        <w:t>（</w:t>
      </w:r>
      <w:r>
        <w:rPr>
          <w:rFonts w:hint="eastAsia"/>
          <w:spacing w:val="-12"/>
        </w:rPr>
        <w:t>粤财规〔</w:t>
      </w:r>
      <w:r>
        <w:rPr>
          <w:rFonts w:ascii="Times New Roman" w:hAnsi="Times New Roman" w:cs="Times New Roman"/>
          <w:spacing w:val="-12"/>
        </w:rPr>
        <w:t>2023</w:t>
      </w:r>
      <w:r>
        <w:rPr>
          <w:rFonts w:hint="eastAsia"/>
          <w:spacing w:val="-12"/>
        </w:rPr>
        <w:t>〕</w:t>
      </w:r>
      <w:r>
        <w:rPr>
          <w:rFonts w:ascii="Times New Roman" w:hAnsi="Times New Roman" w:cs="Times New Roman"/>
          <w:spacing w:val="-12"/>
        </w:rPr>
        <w:t>3</w:t>
      </w:r>
      <w:r>
        <w:rPr>
          <w:rFonts w:hint="eastAsia"/>
          <w:spacing w:val="-12"/>
        </w:rPr>
        <w:t>号</w:t>
      </w:r>
      <w:r>
        <w:rPr>
          <w:rFonts w:hint="eastAsia"/>
          <w:spacing w:val="-12"/>
          <w:lang w:val="en-US"/>
        </w:rPr>
        <w:t>）</w:t>
      </w:r>
      <w:r>
        <w:rPr>
          <w:rFonts w:hint="eastAsia"/>
          <w:spacing w:val="-12"/>
        </w:rPr>
        <w:t>、《广东省省级财政社会科学研究项目资金的管理监督办法》（粤财规〔</w:t>
      </w:r>
      <w:r>
        <w:rPr>
          <w:rFonts w:ascii="Times New Roman" w:hAnsi="Times New Roman" w:cs="Times New Roman"/>
          <w:spacing w:val="-12"/>
        </w:rPr>
        <w:t>2023</w:t>
      </w:r>
      <w:r>
        <w:rPr>
          <w:rFonts w:hint="eastAsia"/>
          <w:spacing w:val="-12"/>
        </w:rPr>
        <w:t>〕</w:t>
      </w:r>
      <w:r>
        <w:rPr>
          <w:rFonts w:ascii="Times New Roman" w:hAnsi="Times New Roman" w:cs="Times New Roman"/>
          <w:spacing w:val="-12"/>
        </w:rPr>
        <w:t>2</w:t>
      </w:r>
      <w:r>
        <w:rPr>
          <w:rFonts w:hint="eastAsia"/>
          <w:spacing w:val="-12"/>
        </w:rPr>
        <w:t>号）</w:t>
      </w:r>
      <w:r>
        <w:rPr>
          <w:rFonts w:hint="eastAsia"/>
        </w:rPr>
        <w:t>等文件精神，以及</w:t>
      </w:r>
      <w:r>
        <w:rPr>
          <w:spacing w:val="-11"/>
        </w:rPr>
        <w:t>国家、省、市各类科技计划资金管理办法，</w:t>
      </w:r>
      <w:r>
        <w:rPr>
          <w:rFonts w:hint="eastAsia"/>
          <w:spacing w:val="-11"/>
        </w:rPr>
        <w:t>依据《华南农业大学章程》</w:t>
      </w:r>
      <w:r>
        <w:rPr>
          <w:rFonts w:hint="eastAsia"/>
          <w:spacing w:val="-11"/>
          <w:lang w:val="en-US"/>
        </w:rPr>
        <w:t>并结合</w:t>
      </w:r>
      <w:r>
        <w:rPr>
          <w:rFonts w:hint="eastAsia"/>
          <w:spacing w:val="-11"/>
        </w:rPr>
        <w:t>学</w:t>
      </w:r>
      <w:r>
        <w:rPr>
          <w:spacing w:val="-11"/>
        </w:rPr>
        <w:t>校实际，特制定本办法。</w:t>
      </w:r>
    </w:p>
    <w:p w14:paraId="3871FFC4">
      <w:pPr>
        <w:pStyle w:val="5"/>
        <w:spacing w:line="560" w:lineRule="exact"/>
        <w:ind w:firstLine="643" w:firstLineChars="200"/>
        <w:jc w:val="both"/>
      </w:pPr>
      <w:r>
        <w:rPr>
          <w:b/>
        </w:rPr>
        <w:t xml:space="preserve">第二条 </w:t>
      </w:r>
      <w:r>
        <w:rPr>
          <w:rFonts w:hint="eastAsia"/>
          <w:b/>
          <w:lang w:val="en-US"/>
        </w:rPr>
        <w:t xml:space="preserve"> </w:t>
      </w:r>
      <w:r>
        <w:rPr>
          <w:lang w:val="en-US"/>
        </w:rPr>
        <w:t>本办法所称</w:t>
      </w:r>
      <w:r>
        <w:t>纵向科研资金</w:t>
      </w:r>
      <w:r>
        <w:rPr>
          <w:rFonts w:hint="eastAsia"/>
        </w:rPr>
        <w:t>（以下简称“科研资金”），</w:t>
      </w:r>
      <w:r>
        <w:t>是指来源于中央或地方财政，由国</w:t>
      </w:r>
      <w:r>
        <w:rPr>
          <w:spacing w:val="-13"/>
        </w:rPr>
        <w:t>家、部门、地方政府下达的各类基金项目、科技计划类或专项</w:t>
      </w:r>
      <w:r>
        <w:rPr>
          <w:rFonts w:hint="eastAsia"/>
          <w:spacing w:val="-13"/>
        </w:rPr>
        <w:t>项目</w:t>
      </w:r>
      <w:r>
        <w:rPr>
          <w:spacing w:val="-13"/>
        </w:rPr>
        <w:t>资金</w:t>
      </w:r>
      <w:r>
        <w:t>。</w:t>
      </w:r>
    </w:p>
    <w:p w14:paraId="58350126">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 xml:space="preserve">第二章  职责与权限 </w:t>
      </w:r>
    </w:p>
    <w:p w14:paraId="28E38D6D">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b/>
          <w:sz w:val="32"/>
          <w:szCs w:val="32"/>
        </w:rPr>
        <w:t>第三条</w:t>
      </w:r>
      <w:r>
        <w:rPr>
          <w:rFonts w:hint="eastAsia" w:ascii="Times New Roman" w:hAnsi="Times New Roman" w:cs="Times New Roman"/>
          <w:color w:val="000000" w:themeColor="text1"/>
          <w:kern w:val="2"/>
          <w:sz w:val="32"/>
          <w:szCs w:val="32"/>
          <w:lang w:val="en-US" w:bidi="ar-SA"/>
        </w:rPr>
        <w:t xml:space="preserve">  纵向科研资金实行“统一领导、分级管理、责任到人”的管理体制。凡以华南农业大学为法人单位取得的纵向科研资金，必须纳入学校财务统一管理、单独核算、专款专用。</w:t>
      </w:r>
    </w:p>
    <w:p w14:paraId="48469531">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b/>
          <w:sz w:val="32"/>
          <w:szCs w:val="32"/>
        </w:rPr>
        <w:t>第四条</w:t>
      </w:r>
      <w:r>
        <w:rPr>
          <w:rFonts w:hint="eastAsia" w:ascii="Times New Roman" w:hAnsi="Times New Roman" w:cs="Times New Roman"/>
          <w:color w:val="000000" w:themeColor="text1"/>
          <w:kern w:val="2"/>
          <w:sz w:val="32"/>
          <w:szCs w:val="32"/>
          <w:lang w:val="en-US" w:bidi="ar-SA"/>
        </w:rPr>
        <w:t xml:space="preserve">  学校财务处、科学研究院、审计处、资产与实验室管理处、总务部、采购招标中心等职能部门分工协作，学院（二级单位）、项目负责人各负其责，密切配合，共同做好科研资金管理工作。各职能部门的主要职责如下：</w:t>
      </w:r>
    </w:p>
    <w:p w14:paraId="7444209D">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（一）财务处</w:t>
      </w:r>
    </w:p>
    <w:p w14:paraId="05DD31BB">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 指导、协助项目负责人编制、审核资金预算和决算；</w:t>
      </w:r>
    </w:p>
    <w:p w14:paraId="0411AE55">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 制订会议费、差旅费等支出标准，做好科研资金日常报销等各项会计核算，监督、协助项目负责人按照相关财经法规使用资金；</w:t>
      </w:r>
    </w:p>
    <w:p w14:paraId="630804A1">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 做好科研资金外拨、预算调整、绩效提取、结余资金等财务管理；</w:t>
      </w:r>
    </w:p>
    <w:p w14:paraId="171AC0F2">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4</w:t>
      </w:r>
      <w:r>
        <w:rPr>
          <w:rFonts w:hint="eastAsia" w:ascii="Times New Roman" w:hAnsi="Times New Roman" w:cs="Times New Roman"/>
          <w:color w:val="000000" w:themeColor="text1"/>
          <w:kern w:val="2"/>
          <w:sz w:val="32"/>
          <w:szCs w:val="32"/>
          <w:lang w:val="en-US" w:bidi="ar-SA"/>
        </w:rPr>
        <w:t>. 协助项目负责人做好科研资金的财务审计、监督、检查；</w:t>
      </w:r>
    </w:p>
    <w:p w14:paraId="0B946607">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5</w:t>
      </w:r>
      <w:r>
        <w:rPr>
          <w:rFonts w:hint="eastAsia" w:ascii="Times New Roman" w:hAnsi="Times New Roman" w:cs="Times New Roman"/>
          <w:color w:val="000000" w:themeColor="text1"/>
          <w:kern w:val="2"/>
          <w:sz w:val="32"/>
          <w:szCs w:val="32"/>
          <w:lang w:val="en-US" w:bidi="ar-SA"/>
        </w:rPr>
        <w:t>. 做好科研财务助理备案及培训等工作。</w:t>
      </w:r>
    </w:p>
    <w:p w14:paraId="5570E371">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（二）科学研究院</w:t>
      </w:r>
    </w:p>
    <w:p w14:paraId="2D61FB84">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 负责科研合同（任务书）审核，配合财务处、项目负责人做好科研资金预算；</w:t>
      </w:r>
    </w:p>
    <w:p w14:paraId="39E75884">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 xml:space="preserve">. </w:t>
      </w:r>
      <w:r>
        <w:rPr>
          <w:rFonts w:hint="eastAsia" w:ascii="Times New Roman" w:hAnsi="Times New Roman" w:cs="Times New Roman"/>
          <w:kern w:val="2"/>
          <w:sz w:val="32"/>
          <w:szCs w:val="32"/>
          <w:lang w:val="en-US" w:bidi="ar-SA"/>
        </w:rPr>
        <w:t>协助</w:t>
      </w:r>
      <w:r>
        <w:rPr>
          <w:rFonts w:hint="eastAsia" w:ascii="Times New Roman" w:hAnsi="Times New Roman" w:cs="Times New Roman"/>
          <w:color w:val="000000" w:themeColor="text1"/>
          <w:kern w:val="2"/>
          <w:sz w:val="32"/>
          <w:szCs w:val="32"/>
          <w:lang w:val="en-US" w:bidi="ar-SA"/>
        </w:rPr>
        <w:t>做好科研经费外拨、预算调整、结余资金等的审批和管理；</w:t>
      </w:r>
    </w:p>
    <w:p w14:paraId="37B956C6">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 配合财务处做好科研资金的会计核算和财务管理；</w:t>
      </w:r>
    </w:p>
    <w:p w14:paraId="443E203A">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4</w:t>
      </w:r>
      <w:r>
        <w:rPr>
          <w:rFonts w:hint="eastAsia" w:ascii="Times New Roman" w:hAnsi="Times New Roman" w:cs="Times New Roman"/>
          <w:color w:val="000000" w:themeColor="text1"/>
          <w:kern w:val="2"/>
          <w:sz w:val="32"/>
          <w:szCs w:val="32"/>
          <w:lang w:val="en-US" w:bidi="ar-SA"/>
        </w:rPr>
        <w:t>. 协助财务处做好科研财务助理制度的执行；</w:t>
      </w:r>
    </w:p>
    <w:p w14:paraId="1D4D1C88">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5</w:t>
      </w:r>
      <w:r>
        <w:rPr>
          <w:rFonts w:hint="eastAsia" w:ascii="Times New Roman" w:hAnsi="Times New Roman" w:cs="Times New Roman"/>
          <w:color w:val="000000" w:themeColor="text1"/>
          <w:kern w:val="2"/>
          <w:sz w:val="32"/>
          <w:szCs w:val="32"/>
          <w:lang w:val="en-US" w:bidi="ar-SA"/>
        </w:rPr>
        <w:t>. 协助财务处、项目负责人做好项目主管部门对科研资金的检查、审计等工作。</w:t>
      </w:r>
    </w:p>
    <w:p w14:paraId="759D00D2">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（三）审计处</w:t>
      </w:r>
    </w:p>
    <w:p w14:paraId="267EECDA">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负责对科研资金管理和使用进行定期或不定期审计，加强对科研资金收支的审计监督，防止弄虚作假、截留、挪用、挤占科研资金等违反财经纪律的行为。</w:t>
      </w:r>
    </w:p>
    <w:p w14:paraId="116BA701">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（四）资产与实验室管理处</w:t>
      </w:r>
    </w:p>
    <w:p w14:paraId="70AD121B">
      <w:pPr>
        <w:shd w:val="clear" w:color="auto" w:fill="FFFFFF"/>
        <w:autoSpaceDE/>
        <w:autoSpaceDN/>
        <w:adjustRightInd w:val="0"/>
        <w:snapToGrid w:val="0"/>
        <w:spacing w:line="560" w:lineRule="exact"/>
        <w:ind w:firstLine="640" w:firstLineChars="200"/>
        <w:jc w:val="both"/>
        <w:rPr>
          <w:color w:val="000000"/>
          <w:sz w:val="32"/>
          <w:szCs w:val="32"/>
        </w:rPr>
      </w:pPr>
      <w:r>
        <w:rPr>
          <w:rFonts w:hint="eastAsia"/>
          <w:color w:val="000000"/>
          <w:sz w:val="32"/>
          <w:szCs w:val="32"/>
        </w:rPr>
        <w:t>主要负责使用项目资金购置货物的购前论证、合同审核及资产管理等工作。</w:t>
      </w:r>
    </w:p>
    <w:p w14:paraId="0FE47170">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（五）总务部</w:t>
      </w:r>
    </w:p>
    <w:p w14:paraId="269B4BF2">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负责协助项目实施所需后勤条件保障，配合相关学院（二级单位）开展项目研究产生的水、电费用的计量与收取等工作。</w:t>
      </w:r>
    </w:p>
    <w:p w14:paraId="62ED96B9">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（六）采购招标中心</w:t>
      </w:r>
    </w:p>
    <w:p w14:paraId="60C1A630">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主要负责使用科研资金开展的工程、货物和服务的采购招标管理等工作。</w:t>
      </w:r>
    </w:p>
    <w:p w14:paraId="1C67655E">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b/>
          <w:bCs/>
          <w:color w:val="000000" w:themeColor="text1"/>
          <w:kern w:val="2"/>
          <w:sz w:val="32"/>
          <w:szCs w:val="32"/>
          <w:lang w:val="en-US" w:bidi="ar-SA"/>
        </w:rPr>
        <w:t>第五条</w:t>
      </w:r>
      <w:r>
        <w:rPr>
          <w:rFonts w:hint="eastAsia" w:ascii="Times New Roman" w:hAnsi="Times New Roman" w:cs="Times New Roman"/>
          <w:color w:val="000000" w:themeColor="text1"/>
          <w:kern w:val="2"/>
          <w:sz w:val="32"/>
          <w:szCs w:val="32"/>
          <w:lang w:val="en-US" w:bidi="ar-SA"/>
        </w:rPr>
        <w:t xml:space="preserve">  学院（二级单位）是科研活动的重要管理单位，对本单位科研资金使用承担监管责任。根据学科特点和项目实际需要，督促项目负责人合理、合规使用科研资金；协助学校相关职能部门审核科研合同（任务）书、经费预算、预算调整等；负责制定本单位间接经费实施细则，审核科研绩效支出；落实公开项目预算、预算调整、项目决算、资金使用、研究成果等项目信息。</w:t>
      </w:r>
    </w:p>
    <w:p w14:paraId="370B187A">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b/>
          <w:bCs/>
          <w:color w:val="000000" w:themeColor="text1"/>
          <w:kern w:val="2"/>
          <w:sz w:val="32"/>
          <w:szCs w:val="32"/>
          <w:lang w:val="en-US" w:bidi="ar-SA"/>
        </w:rPr>
        <w:t>第六条</w:t>
      </w:r>
      <w:r>
        <w:rPr>
          <w:rFonts w:ascii="Times New Roman" w:hAnsi="Times New Roman" w:cs="Times New Roman"/>
          <w:color w:val="000000" w:themeColor="text1"/>
          <w:kern w:val="2"/>
          <w:sz w:val="32"/>
          <w:szCs w:val="32"/>
          <w:lang w:val="en-US" w:bidi="ar-SA"/>
        </w:rPr>
        <w:t xml:space="preserve">  </w:t>
      </w:r>
      <w:r>
        <w:rPr>
          <w:rFonts w:hint="eastAsia" w:ascii="Times New Roman" w:hAnsi="Times New Roman" w:cs="Times New Roman"/>
          <w:color w:val="000000" w:themeColor="text1"/>
          <w:kern w:val="2"/>
          <w:sz w:val="32"/>
          <w:szCs w:val="32"/>
          <w:lang w:val="en-US" w:bidi="ar-SA"/>
        </w:rPr>
        <w:t>项目负责人是科研项目预算编制和资金使用的直接责任人，对科研资金使用的合法性、合规性、合理性、真实性和相关性承担法律责任。项目负责人应依法据实编制科研资金预算和决算，按照合同（任务）书或上级主管部门批复使用资金；根据项目需要选聘科研财务助理，参与资金预算编制、调整、支出、决算和验收考评等专业工作；建立并落实科研项目日志管理制度，据实记录科研项目研究方向和技术路线调整、研究团队人员变动、预算调整、资金使用、设备和耗材使用情况等内容，真实反映科研项目研究过程及资金开支情况；配合学校和上级相关部门的监督检查。项目负责人应当结合科研活动需要，科学合理安排项目资金支出进度，确保绩效目标如期实现，财政资金发挥如期效益。</w:t>
      </w:r>
    </w:p>
    <w:p w14:paraId="193C7CF6">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博士后合作导师应对博士后研究人员项目（课题）经费使用进行指导。</w:t>
      </w:r>
    </w:p>
    <w:p w14:paraId="34CF659D">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第三章  科研资金开支范围</w:t>
      </w:r>
    </w:p>
    <w:p w14:paraId="6F6DD76A">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b/>
          <w:bCs/>
          <w:color w:val="000000" w:themeColor="text1"/>
          <w:kern w:val="2"/>
          <w:sz w:val="32"/>
          <w:szCs w:val="32"/>
          <w:lang w:val="en-US" w:bidi="ar-SA"/>
        </w:rPr>
        <w:t>第七条</w:t>
      </w:r>
      <w:r>
        <w:rPr>
          <w:rFonts w:hint="eastAsia" w:ascii="Times New Roman" w:hAnsi="Times New Roman" w:cs="Times New Roman"/>
          <w:color w:val="000000" w:themeColor="text1"/>
          <w:kern w:val="2"/>
          <w:sz w:val="32"/>
          <w:szCs w:val="32"/>
          <w:lang w:val="en-US" w:bidi="ar-SA"/>
        </w:rPr>
        <w:t xml:space="preserve">  科研资金支出是指在项目组织实施过程中与科研活动相关的、由科研资金支付的各项费用支出。一般分为直接费用和间接经费。</w:t>
      </w:r>
    </w:p>
    <w:p w14:paraId="42D08C61">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b/>
          <w:bCs/>
          <w:color w:val="000000" w:themeColor="text1"/>
          <w:kern w:val="2"/>
          <w:sz w:val="32"/>
          <w:szCs w:val="32"/>
          <w:lang w:val="en-US" w:bidi="ar-SA"/>
        </w:rPr>
        <w:t>第八条</w:t>
      </w:r>
      <w:r>
        <w:rPr>
          <w:rFonts w:hint="eastAsia" w:ascii="Times New Roman" w:hAnsi="Times New Roman" w:cs="Times New Roman"/>
          <w:color w:val="000000" w:themeColor="text1"/>
          <w:kern w:val="2"/>
          <w:sz w:val="32"/>
          <w:szCs w:val="32"/>
          <w:lang w:val="en-US" w:bidi="ar-SA"/>
        </w:rPr>
        <w:t xml:space="preserve">  直接费用是指在项目研究开发过程中发生的与之直接相关的费用，主要包括设备费、业务费、劳务费。</w:t>
      </w:r>
    </w:p>
    <w:p w14:paraId="6AC15DD3">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一）设备费：是指在项目实施过程中购置或试制专用仪器设备，对现有仪器设备进行升级改造，以及租赁外单位仪器设备而发生的费用。计算类仪器设备和软件工具（自然科学类项目）在设备费科目列支。应当严格控制设备购置，鼓励开放共享、自主研制、租赁专用仪器设备以及对现有仪器设备进行升级改造，避免重复购置。</w:t>
      </w:r>
    </w:p>
    <w:p w14:paraId="3FD6C75C">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二）业务费：自然科学类科研项目业务费是指在项目实施过程中消耗的各种材料、辅助材料等低值易耗品的采购、运输、装卸、整理等费用，发生的测试化验加工、田间试验、燃料动力、出版/文献/信息传播/知识产权事务、会议/差旅/国际合作交流等费用，以及其他相关支出。</w:t>
      </w:r>
    </w:p>
    <w:p w14:paraId="5F786ABA">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人文社科类科研项目业务费是指在项目实施过程中购置图书、收集资料、复印翻拍、专用软件购买、检索文献、采集数据、翻译资料、印刷出版、会议/差旅/国际合作与交流，以及其他相关费用的支出。</w:t>
      </w:r>
    </w:p>
    <w:p w14:paraId="3C98EA4D">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三）劳务费：是指在项目研究过程中支付给参与项目研究的在校本科生、研究生、博士后、访问学者以及项目聘用的研究人员、科研辅助人员的劳务费用及其社会保险、住房公积金等费用，以及支付给临时聘请专家的咨询费用等。</w:t>
      </w:r>
    </w:p>
    <w:p w14:paraId="381DF894">
      <w:pPr>
        <w:shd w:val="clear" w:color="auto" w:fill="FFFFFF"/>
        <w:autoSpaceDE/>
        <w:autoSpaceDN/>
        <w:adjustRightInd w:val="0"/>
        <w:snapToGrid w:val="0"/>
        <w:spacing w:line="560" w:lineRule="exact"/>
        <w:ind w:firstLine="624"/>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专家咨询费不得支付给参与本项目及所属课题研究和管理的相关工作人员。</w:t>
      </w:r>
    </w:p>
    <w:p w14:paraId="07E9E302">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第九条</w:t>
      </w:r>
      <w:r>
        <w:rPr>
          <w:rFonts w:hint="eastAsia" w:ascii="Times New Roman" w:hAnsi="Times New Roman" w:cs="Times New Roman"/>
          <w:color w:val="000000" w:themeColor="text1"/>
          <w:kern w:val="2"/>
          <w:sz w:val="32"/>
          <w:szCs w:val="32"/>
          <w:lang w:val="en-US" w:bidi="ar-SA"/>
        </w:rPr>
        <w:t xml:space="preserve">  间接经费是指承担单位在组织实施项目过程中发生的无法在直接费用中列支的相关费用。主要包括承担单位为项目研究提供的房屋占用，日常水、电、气、暖消耗，有关管理费用支出，以及激励科研人员的绩效支出等。</w:t>
      </w:r>
    </w:p>
    <w:p w14:paraId="59A5A3E9">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第十条</w:t>
      </w:r>
      <w:r>
        <w:rPr>
          <w:rFonts w:hint="eastAsia" w:ascii="Times New Roman" w:hAnsi="Times New Roman" w:cs="Times New Roman"/>
          <w:color w:val="000000" w:themeColor="text1"/>
          <w:kern w:val="2"/>
          <w:sz w:val="32"/>
          <w:szCs w:val="32"/>
          <w:lang w:val="en-US" w:bidi="ar-SA"/>
        </w:rPr>
        <w:t xml:space="preserve">  项目间接经费不得列支以下支出：</w:t>
      </w:r>
    </w:p>
    <w:p w14:paraId="421402BB">
      <w:pPr>
        <w:autoSpaceDE/>
        <w:autoSpaceDN/>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（一）</w:t>
      </w:r>
      <w:r>
        <w:rPr>
          <w:rFonts w:hint="eastAsia" w:ascii="仿宋" w:hAnsi="仿宋" w:eastAsia="仿宋"/>
          <w:sz w:val="32"/>
          <w:szCs w:val="32"/>
        </w:rPr>
        <w:t>与科研工作无直接相关性的支出；</w:t>
      </w:r>
    </w:p>
    <w:p w14:paraId="0D79F55D">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（二）罚款、捐赠、赞助、投资等；</w:t>
      </w:r>
    </w:p>
    <w:p w14:paraId="0DBE7CBC">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（三）休闲娱乐和旅游运动等场所发生的费用；</w:t>
      </w:r>
    </w:p>
    <w:p w14:paraId="590182A1">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（四）科研业务接待费；</w:t>
      </w:r>
    </w:p>
    <w:p w14:paraId="42F286B4">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（五）不符合财务规章制度和项目管理规定的支出。</w:t>
      </w:r>
    </w:p>
    <w:p w14:paraId="6A47F303">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 xml:space="preserve">第四章 </w:t>
      </w:r>
      <w:r>
        <w:rPr>
          <w:rFonts w:ascii="黑体" w:hAnsi="黑体" w:eastAsia="黑体"/>
          <w:bCs/>
          <w:sz w:val="32"/>
          <w:szCs w:val="32"/>
        </w:rPr>
        <w:t xml:space="preserve"> </w:t>
      </w:r>
      <w:r>
        <w:rPr>
          <w:rFonts w:hint="eastAsia" w:ascii="黑体" w:hAnsi="黑体" w:eastAsia="黑体"/>
          <w:bCs/>
          <w:sz w:val="32"/>
          <w:szCs w:val="32"/>
        </w:rPr>
        <w:t>预算编制</w:t>
      </w:r>
    </w:p>
    <w:p w14:paraId="537D51D4">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第十一条</w:t>
      </w:r>
      <w:r>
        <w:rPr>
          <w:rFonts w:hint="eastAsia" w:ascii="Times New Roman" w:hAnsi="Times New Roman" w:cs="Times New Roman"/>
          <w:color w:val="000000" w:themeColor="text1"/>
          <w:kern w:val="2"/>
          <w:sz w:val="32"/>
          <w:szCs w:val="32"/>
          <w:lang w:val="en-US" w:bidi="ar-SA"/>
        </w:rPr>
        <w:t xml:space="preserve">  项目负责人根据政策相符性、目标相关性和经济合理性原则，结合科研特点和实际需要，按照资金开支范围，科学、合理、真实地编制项目预算。</w:t>
      </w:r>
    </w:p>
    <w:p w14:paraId="0826FF39">
      <w:pPr>
        <w:numPr>
          <w:ilvl w:val="255"/>
          <w:numId w:val="0"/>
        </w:numPr>
        <w:shd w:val="clear" w:color="auto" w:fill="FFFFFF"/>
        <w:autoSpaceDE/>
        <w:autoSpaceDN/>
        <w:adjustRightInd w:val="0"/>
        <w:snapToGrid w:val="0"/>
        <w:spacing w:line="560" w:lineRule="exact"/>
        <w:ind w:firstLine="643" w:firstLineChars="200"/>
        <w:rPr>
          <w:rFonts w:ascii="宋体" w:eastAsia="宋体"/>
          <w:b/>
          <w:bCs/>
          <w:sz w:val="32"/>
          <w:szCs w:val="32"/>
          <w:lang w:val="en-US" w:bidi="ar-SA"/>
        </w:rPr>
      </w:pPr>
      <w:r>
        <w:rPr>
          <w:rFonts w:hint="eastAsia" w:hAnsi="仿宋"/>
          <w:b/>
          <w:bCs/>
          <w:sz w:val="32"/>
          <w:szCs w:val="32"/>
          <w:lang w:val="en-US" w:bidi="ar-SA"/>
        </w:rPr>
        <w:t>第十二条</w:t>
      </w:r>
      <w:r>
        <w:rPr>
          <w:rFonts w:hint="eastAsia" w:ascii="Times New Roman" w:hAnsi="Times New Roman" w:cs="Times New Roman"/>
          <w:color w:val="000000" w:themeColor="text1"/>
          <w:kern w:val="2"/>
          <w:sz w:val="32"/>
          <w:szCs w:val="32"/>
          <w:lang w:val="en-US" w:bidi="ar-SA"/>
        </w:rPr>
        <w:t xml:space="preserve">  直接费用预算编制除</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万以上的设备费以外，其他费用可只提供基本测算说明，不需要提供明细。</w:t>
      </w:r>
    </w:p>
    <w:p w14:paraId="0DD1FE72">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第十三条</w:t>
      </w:r>
      <w:r>
        <w:rPr>
          <w:rFonts w:hint="eastAsia" w:ascii="Times New Roman" w:hAnsi="Times New Roman" w:cs="Times New Roman"/>
          <w:color w:val="000000" w:themeColor="text1"/>
          <w:kern w:val="2"/>
          <w:sz w:val="32"/>
          <w:szCs w:val="32"/>
          <w:lang w:val="en-US" w:bidi="ar-SA"/>
        </w:rPr>
        <w:t xml:space="preserve">  对于实行间接经费管理的项目，项目负责人应当按照各类项目现行规定比例的上限编制间接经费预算，且不低于直接费用扣除设备购置费后的</w:t>
      </w:r>
      <w:r>
        <w:rPr>
          <w:rFonts w:ascii="Times New Roman" w:hAnsi="Times New Roman" w:cs="Times New Roman"/>
          <w:color w:val="000000" w:themeColor="text1"/>
          <w:kern w:val="2"/>
          <w:sz w:val="32"/>
          <w:szCs w:val="32"/>
          <w:lang w:val="en-US" w:bidi="ar-SA"/>
        </w:rPr>
        <w:t>20%</w:t>
      </w:r>
      <w:r>
        <w:rPr>
          <w:rFonts w:hint="eastAsia" w:ascii="Times New Roman" w:hAnsi="Times New Roman" w:cs="Times New Roman"/>
          <w:color w:val="000000" w:themeColor="text1"/>
          <w:kern w:val="2"/>
          <w:sz w:val="32"/>
          <w:szCs w:val="32"/>
          <w:lang w:val="en-US" w:bidi="ar-SA"/>
        </w:rPr>
        <w:t>。</w:t>
      </w:r>
    </w:p>
    <w:p w14:paraId="7190983B">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（一）自然科学类科研项目</w:t>
      </w:r>
    </w:p>
    <w:p w14:paraId="696355D7">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间接经费预算按照不超过直接费用扣除设备购置费后的一定比例核定，并实行总额控制。</w:t>
      </w:r>
    </w:p>
    <w:p w14:paraId="345D69FD">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万元及以下的部分为不超过</w:t>
      </w:r>
      <w:r>
        <w:rPr>
          <w:rFonts w:ascii="Times New Roman" w:hAnsi="Times New Roman" w:cs="Times New Roman"/>
          <w:color w:val="000000" w:themeColor="text1"/>
          <w:kern w:val="2"/>
          <w:sz w:val="32"/>
          <w:szCs w:val="32"/>
          <w:lang w:val="en-US" w:bidi="ar-SA"/>
        </w:rPr>
        <w:t>30%</w:t>
      </w:r>
      <w:r>
        <w:rPr>
          <w:rFonts w:hint="eastAsia" w:ascii="Times New Roman" w:hAnsi="Times New Roman" w:cs="Times New Roman"/>
          <w:color w:val="000000" w:themeColor="text1"/>
          <w:kern w:val="2"/>
          <w:sz w:val="32"/>
          <w:szCs w:val="32"/>
          <w:lang w:val="en-US" w:bidi="ar-SA"/>
        </w:rPr>
        <w:t>；</w:t>
      </w:r>
    </w:p>
    <w:p w14:paraId="609BCA92">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万元至</w:t>
      </w:r>
      <w:r>
        <w:rPr>
          <w:rFonts w:ascii="Times New Roman" w:hAnsi="Times New Roman" w:cs="Times New Roman"/>
          <w:color w:val="000000" w:themeColor="text1"/>
          <w:kern w:val="2"/>
          <w:sz w:val="32"/>
          <w:szCs w:val="32"/>
          <w:lang w:val="en-US" w:bidi="ar-SA"/>
        </w:rPr>
        <w:t>1000</w:t>
      </w:r>
      <w:r>
        <w:rPr>
          <w:rFonts w:hint="eastAsia" w:ascii="Times New Roman" w:hAnsi="Times New Roman" w:cs="Times New Roman"/>
          <w:color w:val="000000" w:themeColor="text1"/>
          <w:kern w:val="2"/>
          <w:sz w:val="32"/>
          <w:szCs w:val="32"/>
          <w:lang w:val="en-US" w:bidi="ar-SA"/>
        </w:rPr>
        <w:t>万元的部分为不超过</w:t>
      </w:r>
      <w:r>
        <w:rPr>
          <w:rFonts w:ascii="Times New Roman" w:hAnsi="Times New Roman" w:cs="Times New Roman"/>
          <w:color w:val="000000" w:themeColor="text1"/>
          <w:kern w:val="2"/>
          <w:sz w:val="32"/>
          <w:szCs w:val="32"/>
          <w:lang w:val="en-US" w:bidi="ar-SA"/>
        </w:rPr>
        <w:t>25%</w:t>
      </w:r>
      <w:r>
        <w:rPr>
          <w:rFonts w:hint="eastAsia" w:ascii="Times New Roman" w:hAnsi="Times New Roman" w:cs="Times New Roman"/>
          <w:color w:val="000000" w:themeColor="text1"/>
          <w:kern w:val="2"/>
          <w:sz w:val="32"/>
          <w:szCs w:val="32"/>
          <w:lang w:val="en-US" w:bidi="ar-SA"/>
        </w:rPr>
        <w:t xml:space="preserve">； </w:t>
      </w:r>
    </w:p>
    <w:p w14:paraId="1D2B754D">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1000</w:t>
      </w:r>
      <w:r>
        <w:rPr>
          <w:rFonts w:hint="eastAsia" w:ascii="Times New Roman" w:hAnsi="Times New Roman" w:cs="Times New Roman"/>
          <w:color w:val="000000" w:themeColor="text1"/>
          <w:kern w:val="2"/>
          <w:sz w:val="32"/>
          <w:szCs w:val="32"/>
          <w:lang w:val="en-US" w:bidi="ar-SA"/>
        </w:rPr>
        <w:t>万元以上的部分为不超过</w:t>
      </w:r>
      <w:r>
        <w:rPr>
          <w:rFonts w:ascii="Times New Roman" w:hAnsi="Times New Roman" w:cs="Times New Roman"/>
          <w:color w:val="000000" w:themeColor="text1"/>
          <w:kern w:val="2"/>
          <w:sz w:val="32"/>
          <w:szCs w:val="32"/>
          <w:lang w:val="en-US" w:bidi="ar-SA"/>
        </w:rPr>
        <w:t>20%</w:t>
      </w:r>
      <w:r>
        <w:rPr>
          <w:rFonts w:hint="eastAsia" w:ascii="Times New Roman" w:hAnsi="Times New Roman" w:cs="Times New Roman"/>
          <w:color w:val="000000" w:themeColor="text1"/>
          <w:kern w:val="2"/>
          <w:sz w:val="32"/>
          <w:szCs w:val="32"/>
          <w:lang w:val="en-US" w:bidi="ar-SA"/>
        </w:rPr>
        <w:t>。</w:t>
      </w:r>
    </w:p>
    <w:p w14:paraId="1CC337BF">
      <w:pPr>
        <w:shd w:val="clear" w:color="auto" w:fill="FFFFFF"/>
        <w:autoSpaceDE/>
        <w:autoSpaceDN/>
        <w:adjustRightInd w:val="0"/>
        <w:snapToGrid w:val="0"/>
        <w:spacing w:line="560" w:lineRule="exact"/>
        <w:ind w:firstLine="640" w:firstLineChars="200"/>
        <w:jc w:val="both"/>
        <w:rPr>
          <w:rFonts w:ascii="Times New Roman" w:hAnsi="Times New Roman" w:cs="Times New Roman"/>
          <w:bCs/>
          <w:color w:val="000000" w:themeColor="text1"/>
          <w:kern w:val="2"/>
          <w:sz w:val="32"/>
          <w:szCs w:val="32"/>
          <w:highlight w:val="yellow"/>
          <w:lang w:val="en-US" w:bidi="ar-SA"/>
        </w:rPr>
      </w:pPr>
      <w:r>
        <w:rPr>
          <w:rFonts w:hint="eastAsia" w:ascii="Times New Roman" w:hAnsi="Times New Roman" w:cs="Times New Roman"/>
          <w:bCs/>
          <w:color w:val="000000" w:themeColor="text1"/>
          <w:kern w:val="2"/>
          <w:sz w:val="32"/>
          <w:szCs w:val="32"/>
          <w:lang w:val="en-US" w:bidi="ar-SA"/>
        </w:rPr>
        <w:t>另，对于纯理论基础研究项目，按以下比例编制间接经费预算：</w:t>
      </w:r>
    </w:p>
    <w:p w14:paraId="0E39F824">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万元及以下部分为</w:t>
      </w:r>
      <w:r>
        <w:rPr>
          <w:rFonts w:ascii="Times New Roman" w:hAnsi="Times New Roman" w:cs="Times New Roman"/>
          <w:color w:val="000000" w:themeColor="text1"/>
          <w:kern w:val="2"/>
          <w:sz w:val="32"/>
          <w:szCs w:val="32"/>
          <w:lang w:val="en-US" w:bidi="ar-SA"/>
        </w:rPr>
        <w:t>60%</w:t>
      </w:r>
      <w:r>
        <w:rPr>
          <w:rFonts w:hint="eastAsia" w:ascii="Times New Roman" w:hAnsi="Times New Roman" w:cs="Times New Roman"/>
          <w:color w:val="000000" w:themeColor="text1"/>
          <w:kern w:val="2"/>
          <w:sz w:val="32"/>
          <w:szCs w:val="32"/>
          <w:lang w:val="en-US" w:bidi="ar-SA"/>
        </w:rPr>
        <w:t>；</w:t>
      </w:r>
    </w:p>
    <w:p w14:paraId="2420DB56">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万元至</w:t>
      </w:r>
      <w:r>
        <w:rPr>
          <w:rFonts w:ascii="Times New Roman" w:hAnsi="Times New Roman" w:cs="Times New Roman"/>
          <w:color w:val="000000" w:themeColor="text1"/>
          <w:kern w:val="2"/>
          <w:sz w:val="32"/>
          <w:szCs w:val="32"/>
          <w:lang w:val="en-US" w:bidi="ar-SA"/>
        </w:rPr>
        <w:t>1000</w:t>
      </w:r>
      <w:r>
        <w:rPr>
          <w:rFonts w:hint="eastAsia" w:ascii="Times New Roman" w:hAnsi="Times New Roman" w:cs="Times New Roman"/>
          <w:color w:val="000000" w:themeColor="text1"/>
          <w:kern w:val="2"/>
          <w:sz w:val="32"/>
          <w:szCs w:val="32"/>
          <w:lang w:val="en-US" w:bidi="ar-SA"/>
        </w:rPr>
        <w:t>万元的部分为</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w:t>
      </w:r>
    </w:p>
    <w:p w14:paraId="32F8D240">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1000</w:t>
      </w:r>
      <w:r>
        <w:rPr>
          <w:rFonts w:hint="eastAsia" w:ascii="Times New Roman" w:hAnsi="Times New Roman" w:cs="Times New Roman"/>
          <w:color w:val="000000" w:themeColor="text1"/>
          <w:kern w:val="2"/>
          <w:sz w:val="32"/>
          <w:szCs w:val="32"/>
          <w:lang w:val="en-US" w:bidi="ar-SA"/>
        </w:rPr>
        <w:t>万元的部分为</w:t>
      </w:r>
      <w:r>
        <w:rPr>
          <w:rFonts w:ascii="Times New Roman" w:hAnsi="Times New Roman" w:cs="Times New Roman"/>
          <w:color w:val="000000" w:themeColor="text1"/>
          <w:kern w:val="2"/>
          <w:sz w:val="32"/>
          <w:szCs w:val="32"/>
          <w:lang w:val="en-US" w:bidi="ar-SA"/>
        </w:rPr>
        <w:t>40%</w:t>
      </w:r>
      <w:r>
        <w:rPr>
          <w:rFonts w:hint="eastAsia" w:ascii="Times New Roman" w:hAnsi="Times New Roman" w:cs="Times New Roman"/>
          <w:color w:val="000000" w:themeColor="text1"/>
          <w:kern w:val="2"/>
          <w:sz w:val="32"/>
          <w:szCs w:val="32"/>
          <w:lang w:val="en-US" w:bidi="ar-SA"/>
        </w:rPr>
        <w:t>。</w:t>
      </w:r>
    </w:p>
    <w:p w14:paraId="109CA3A3">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（二）人文社科类科研项目</w:t>
      </w:r>
    </w:p>
    <w:p w14:paraId="0EE9AC1B">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间接经费预算按照不超过项目经费总额的一定比例核定，具体如下：</w:t>
      </w:r>
    </w:p>
    <w:p w14:paraId="66CB3FDB">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万元及以下的部分为</w:t>
      </w:r>
      <w:r>
        <w:rPr>
          <w:rFonts w:ascii="Times New Roman" w:hAnsi="Times New Roman" w:cs="Times New Roman"/>
          <w:color w:val="000000" w:themeColor="text1"/>
          <w:kern w:val="2"/>
          <w:sz w:val="32"/>
          <w:szCs w:val="32"/>
          <w:lang w:val="en-US" w:bidi="ar-SA"/>
        </w:rPr>
        <w:t>40%</w:t>
      </w:r>
      <w:r>
        <w:rPr>
          <w:rFonts w:hint="eastAsia" w:ascii="Times New Roman" w:hAnsi="Times New Roman" w:cs="Times New Roman"/>
          <w:color w:val="000000" w:themeColor="text1"/>
          <w:kern w:val="2"/>
          <w:sz w:val="32"/>
          <w:szCs w:val="32"/>
          <w:lang w:val="en-US" w:bidi="ar-SA"/>
        </w:rPr>
        <w:t>；</w:t>
      </w:r>
    </w:p>
    <w:p w14:paraId="0DECBEB9">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万元至</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万元的部分为</w:t>
      </w:r>
      <w:r>
        <w:rPr>
          <w:rFonts w:ascii="Times New Roman" w:hAnsi="Times New Roman" w:cs="Times New Roman"/>
          <w:color w:val="000000" w:themeColor="text1"/>
          <w:kern w:val="2"/>
          <w:sz w:val="32"/>
          <w:szCs w:val="32"/>
          <w:lang w:val="en-US" w:bidi="ar-SA"/>
        </w:rPr>
        <w:t>30%</w:t>
      </w:r>
      <w:r>
        <w:rPr>
          <w:rFonts w:hint="eastAsia" w:ascii="Times New Roman" w:hAnsi="Times New Roman" w:cs="Times New Roman"/>
          <w:color w:val="000000" w:themeColor="text1"/>
          <w:kern w:val="2"/>
          <w:sz w:val="32"/>
          <w:szCs w:val="32"/>
          <w:lang w:val="en-US" w:bidi="ar-SA"/>
        </w:rPr>
        <w:t>；</w:t>
      </w:r>
    </w:p>
    <w:p w14:paraId="04B44F1F">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万元以上的部分为</w:t>
      </w:r>
      <w:r>
        <w:rPr>
          <w:rFonts w:ascii="Times New Roman" w:hAnsi="Times New Roman" w:cs="Times New Roman"/>
          <w:color w:val="000000" w:themeColor="text1"/>
          <w:kern w:val="2"/>
          <w:sz w:val="32"/>
          <w:szCs w:val="32"/>
          <w:lang w:val="en-US" w:bidi="ar-SA"/>
        </w:rPr>
        <w:t>20%</w:t>
      </w:r>
      <w:r>
        <w:rPr>
          <w:rFonts w:hint="eastAsia" w:ascii="Times New Roman" w:hAnsi="Times New Roman" w:cs="Times New Roman"/>
          <w:color w:val="000000" w:themeColor="text1"/>
          <w:kern w:val="2"/>
          <w:sz w:val="32"/>
          <w:szCs w:val="32"/>
          <w:lang w:val="en-US" w:bidi="ar-SA"/>
        </w:rPr>
        <w:t>。</w:t>
      </w:r>
    </w:p>
    <w:p w14:paraId="78EAE501">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项目成果通过审核验收后，可依据结项等级调整间接经费比例，具体如下：</w:t>
      </w:r>
    </w:p>
    <w:p w14:paraId="4D8D66AA">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）结项等级为“优秀”的，</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万元及以下部分可提高到不超过</w:t>
      </w:r>
      <w:r>
        <w:rPr>
          <w:rFonts w:ascii="Times New Roman" w:hAnsi="Times New Roman" w:cs="Times New Roman"/>
          <w:color w:val="000000" w:themeColor="text1"/>
          <w:kern w:val="2"/>
          <w:sz w:val="32"/>
          <w:szCs w:val="32"/>
          <w:lang w:val="en-US" w:bidi="ar-SA"/>
        </w:rPr>
        <w:t>60%</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万元至</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万元的部分可提高到不超过</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万元的部分可提高到不超过</w:t>
      </w:r>
      <w:r>
        <w:rPr>
          <w:rFonts w:ascii="Times New Roman" w:hAnsi="Times New Roman" w:cs="Times New Roman"/>
          <w:color w:val="000000" w:themeColor="text1"/>
          <w:kern w:val="2"/>
          <w:sz w:val="32"/>
          <w:szCs w:val="32"/>
          <w:lang w:val="en-US" w:bidi="ar-SA"/>
        </w:rPr>
        <w:t>40%</w:t>
      </w:r>
      <w:r>
        <w:rPr>
          <w:rFonts w:hint="eastAsia" w:ascii="Times New Roman" w:hAnsi="Times New Roman" w:cs="Times New Roman"/>
          <w:color w:val="000000" w:themeColor="text1"/>
          <w:kern w:val="2"/>
          <w:sz w:val="32"/>
          <w:szCs w:val="32"/>
          <w:lang w:val="en-US" w:bidi="ar-SA"/>
        </w:rPr>
        <w:t>。</w:t>
      </w:r>
    </w:p>
    <w:p w14:paraId="719983ED">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）结项等级为“良好”的，</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万元及以下部分可提高到不超过</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w:t>
      </w:r>
      <w:r>
        <w:rPr>
          <w:rFonts w:hint="eastAsia" w:ascii="Times New Roman" w:hAnsi="Times New Roman" w:cs="Times New Roman"/>
          <w:color w:val="000000" w:themeColor="text1"/>
          <w:kern w:val="2"/>
          <w:sz w:val="32"/>
          <w:szCs w:val="32"/>
          <w:lang w:val="en-US" w:bidi="ar-SA"/>
        </w:rPr>
        <w:t>万元至</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万元的部分可提高到不超过</w:t>
      </w:r>
      <w:r>
        <w:rPr>
          <w:rFonts w:ascii="Times New Roman" w:hAnsi="Times New Roman" w:cs="Times New Roman"/>
          <w:color w:val="000000" w:themeColor="text1"/>
          <w:kern w:val="2"/>
          <w:sz w:val="32"/>
          <w:szCs w:val="32"/>
          <w:lang w:val="en-US" w:bidi="ar-SA"/>
        </w:rPr>
        <w:t>40%</w:t>
      </w:r>
      <w:r>
        <w:rPr>
          <w:rFonts w:hint="eastAsia" w:ascii="Times New Roman" w:hAnsi="Times New Roman" w:cs="Times New Roman"/>
          <w:color w:val="000000" w:themeColor="text1"/>
          <w:kern w:val="2"/>
          <w:sz w:val="32"/>
          <w:szCs w:val="32"/>
          <w:lang w:val="en-US" w:bidi="ar-SA"/>
        </w:rPr>
        <w:t>；超过</w:t>
      </w:r>
      <w:r>
        <w:rPr>
          <w:rFonts w:ascii="Times New Roman" w:hAnsi="Times New Roman" w:cs="Times New Roman"/>
          <w:color w:val="000000" w:themeColor="text1"/>
          <w:kern w:val="2"/>
          <w:sz w:val="32"/>
          <w:szCs w:val="32"/>
          <w:lang w:val="en-US" w:bidi="ar-SA"/>
        </w:rPr>
        <w:t>500</w:t>
      </w:r>
      <w:r>
        <w:rPr>
          <w:rFonts w:hint="eastAsia" w:ascii="Times New Roman" w:hAnsi="Times New Roman" w:cs="Times New Roman"/>
          <w:color w:val="000000" w:themeColor="text1"/>
          <w:kern w:val="2"/>
          <w:sz w:val="32"/>
          <w:szCs w:val="32"/>
          <w:lang w:val="en-US" w:bidi="ar-SA"/>
        </w:rPr>
        <w:t>万元的部分可提高到不超过</w:t>
      </w:r>
      <w:r>
        <w:rPr>
          <w:rFonts w:ascii="Times New Roman" w:hAnsi="Times New Roman" w:cs="Times New Roman"/>
          <w:color w:val="000000" w:themeColor="text1"/>
          <w:kern w:val="2"/>
          <w:sz w:val="32"/>
          <w:szCs w:val="32"/>
          <w:lang w:val="en-US" w:bidi="ar-SA"/>
        </w:rPr>
        <w:t>30%</w:t>
      </w:r>
      <w:r>
        <w:rPr>
          <w:rFonts w:hint="eastAsia" w:ascii="Times New Roman" w:hAnsi="Times New Roman" w:cs="Times New Roman"/>
          <w:color w:val="000000" w:themeColor="text1"/>
          <w:kern w:val="2"/>
          <w:sz w:val="32"/>
          <w:szCs w:val="32"/>
          <w:lang w:val="en-US" w:bidi="ar-SA"/>
        </w:rPr>
        <w:t>。</w:t>
      </w:r>
    </w:p>
    <w:p w14:paraId="4D3686D3">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3</w:t>
      </w:r>
      <w:r>
        <w:rPr>
          <w:rFonts w:hint="eastAsia" w:ascii="Times New Roman" w:hAnsi="Times New Roman" w:cs="Times New Roman"/>
          <w:color w:val="000000" w:themeColor="text1"/>
          <w:kern w:val="2"/>
          <w:sz w:val="32"/>
          <w:szCs w:val="32"/>
          <w:lang w:val="en-US" w:bidi="ar-SA"/>
        </w:rPr>
        <w:t>）结项等级为“合格”，或以“免于鉴定”方式结项未分等级的，间接经费比例不再提高。</w:t>
      </w:r>
    </w:p>
    <w:p w14:paraId="22E1E225">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项目主管部门对间接经费有其他规定的，从其规定执行。</w:t>
      </w:r>
    </w:p>
    <w:p w14:paraId="52A561F3">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w:t>
      </w:r>
      <w:r>
        <w:rPr>
          <w:rFonts w:hAnsi="仿宋"/>
          <w:b/>
          <w:bCs/>
          <w:sz w:val="32"/>
          <w:szCs w:val="32"/>
          <w:lang w:val="en-US" w:bidi="ar-SA"/>
        </w:rPr>
        <w:t>四</w:t>
      </w:r>
      <w:r>
        <w:rPr>
          <w:rFonts w:hint="eastAsia" w:hAnsi="仿宋"/>
          <w:b/>
          <w:bCs/>
          <w:sz w:val="32"/>
          <w:szCs w:val="32"/>
          <w:lang w:val="en-US" w:bidi="ar-SA"/>
        </w:rPr>
        <w:t xml:space="preserve">条 </w:t>
      </w:r>
      <w:r>
        <w:rPr>
          <w:rFonts w:hint="eastAsia" w:ascii="Times New Roman" w:hAnsi="Times New Roman" w:cs="Times New Roman"/>
          <w:color w:val="000000" w:themeColor="text1"/>
          <w:kern w:val="2"/>
          <w:sz w:val="32"/>
          <w:szCs w:val="32"/>
          <w:lang w:val="en-US" w:bidi="ar-SA"/>
        </w:rPr>
        <w:t xml:space="preserve"> 由多个单位共同承担的项目，项目负责人和合作研究单位参与者应当根据各自承担的研究任务分别编报资金预算，经所在单位科研、财务部门审核并签署意见后，由项目负责人汇总编制。</w:t>
      </w:r>
    </w:p>
    <w:p w14:paraId="191B4C52">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我校作为项目合作单位的科研项目，间接经费原则上应按子课题经费占总经费的比例核定提取;若项目合作协议中有明确约定的，项目负责人须向科学研究院提供子课题经费预算及分配方案，经科学研究院审核后按该分配方案执行。</w:t>
      </w:r>
    </w:p>
    <w:p w14:paraId="793A86DC">
      <w:pPr>
        <w:numPr>
          <w:ilvl w:val="255"/>
          <w:numId w:val="0"/>
        </w:num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w:t>
      </w:r>
      <w:r>
        <w:rPr>
          <w:rFonts w:hAnsi="仿宋"/>
          <w:b/>
          <w:bCs/>
          <w:sz w:val="32"/>
          <w:szCs w:val="32"/>
          <w:lang w:val="en-US" w:bidi="ar-SA"/>
        </w:rPr>
        <w:t>五</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无明确间接经费预算规定的纵向科研项目以及非政府间国际合作和境外合作项目，按照本办法第十三条规定编制间接经费预算。</w:t>
      </w:r>
    </w:p>
    <w:p w14:paraId="5560D882">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第五章  预算执行</w:t>
      </w:r>
    </w:p>
    <w:p w14:paraId="68E53B47">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w:t>
      </w:r>
      <w:r>
        <w:rPr>
          <w:rFonts w:hAnsi="仿宋"/>
          <w:b/>
          <w:bCs/>
          <w:sz w:val="32"/>
          <w:szCs w:val="32"/>
          <w:lang w:val="en-US" w:bidi="ar-SA"/>
        </w:rPr>
        <w:t>六</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资金到校后，由项目负责人登录学校科研管理系统，根据合同书填写项目立项信息，上传盖章扫描的电子版合同书、立项通知书至项目信息的“项目文档”模块，并通知学院（二级单位）、科学研究院对项目立项信息进行审核。审核通过后，项目负责人进行经费认领，办理线上入账流程。</w:t>
      </w:r>
    </w:p>
    <w:p w14:paraId="46A403D8">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我校作为主持单位的项目，需提交项目合同书、立项文件等立项资料原件各一式一份至科学研究院建档。我校作为参与单位的项目，由项目负责人自行建立并保存完整项目档案资料，以备查，同时必须将相关文件扫描并上传至科研管理系统，以形成完整的科研档案记录。项目负责人按照设立的经费卡号进行账务查询和资金使用管理。</w:t>
      </w:r>
    </w:p>
    <w:p w14:paraId="5F554312">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第十</w:t>
      </w:r>
      <w:r>
        <w:rPr>
          <w:rFonts w:hAnsi="仿宋"/>
          <w:b/>
          <w:bCs/>
          <w:sz w:val="32"/>
          <w:szCs w:val="32"/>
          <w:lang w:val="en-US" w:bidi="ar-SA"/>
        </w:rPr>
        <w:t>七</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由我校主持、多个单位共同承担的项目，外拨到合作单位的科研资金必须依据合同书的资金预算划拨。项目负责人应会同参与单位，明确双方研究任务，列明双方的经费预算明细，做好外拨经费的预算科目额度控制，严格控制间接经费比例，纳入各自单位财务统一管理，专款专用、独立核算。转拨给参与单位的资金，学校不再提取间接经费或管理费。</w:t>
      </w:r>
    </w:p>
    <w:p w14:paraId="07EFB8D4">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申请转拨经费时，由项目负责人提供项目合同书、项目资金批复、外拨资金预算和其他必要材料，由科学研究院、财务处共同审批。单笔外拨资金</w:t>
      </w:r>
      <w:r>
        <w:rPr>
          <w:rFonts w:ascii="Times New Roman" w:hAnsi="Times New Roman" w:cs="Times New Roman"/>
          <w:color w:val="000000" w:themeColor="text1"/>
          <w:kern w:val="2"/>
          <w:sz w:val="32"/>
          <w:szCs w:val="32"/>
          <w:lang w:val="en-US" w:bidi="ar-SA"/>
        </w:rPr>
        <w:t>100</w:t>
      </w:r>
      <w:r>
        <w:rPr>
          <w:rFonts w:hint="eastAsia" w:ascii="Times New Roman" w:hAnsi="Times New Roman" w:cs="Times New Roman"/>
          <w:color w:val="000000" w:themeColor="text1"/>
          <w:kern w:val="2"/>
          <w:sz w:val="32"/>
          <w:szCs w:val="32"/>
          <w:lang w:val="en-US" w:bidi="ar-SA"/>
        </w:rPr>
        <w:t>万元及以上的，须经分管科研校领导审批。</w:t>
      </w:r>
    </w:p>
    <w:p w14:paraId="50CBAAFC">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十八</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资金纳入学校财务统一管理，严格执行国家有关支出管理制度。对应当实行“公务卡”结算的支出，按照公务卡结算有关规定执行。对于设备、大宗材料、测试化验加工、劳务、专家咨询等费用，原则上应通过银行转账方式结算。</w:t>
      </w:r>
    </w:p>
    <w:p w14:paraId="33EF3306">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项目负责人应严格按照资金开支范围和标准开支项目经费，严禁以下行为：</w:t>
      </w:r>
    </w:p>
    <w:p w14:paraId="574FF6E7">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（一）擅自调整外拨资金；</w:t>
      </w:r>
    </w:p>
    <w:p w14:paraId="60956DB5">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（二）购买与科研项目无关的设备、材料；</w:t>
      </w:r>
    </w:p>
    <w:p w14:paraId="4784BD5E">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（三）虚构经济业务、利用虚假票据套取资金；</w:t>
      </w:r>
    </w:p>
    <w:p w14:paraId="7A2F5386">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（四）通过编造虚假劳务合同、虚构人员名单等方式虚报冒领劳务费和专家咨询费；</w:t>
      </w:r>
    </w:p>
    <w:p w14:paraId="1D644AD5">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（五）通过虚构测试化验内容、提高测试化验支出标准等方式违规开支测试化验加工费；</w:t>
      </w:r>
    </w:p>
    <w:p w14:paraId="68674E4B">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（六）使用科研资金支付应当由个人负担的有关费用和各种罚款、捐款、赞助、投资等；</w:t>
      </w:r>
    </w:p>
    <w:p w14:paraId="0C22DB24">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（七）截留、挤占、挪用项目经费；</w:t>
      </w:r>
    </w:p>
    <w:p w14:paraId="0C568D2F">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（八）化整为零，规避科研设备、耗材、试剂等各项采购及合同管理规定；</w:t>
      </w:r>
    </w:p>
    <w:p w14:paraId="4A9B469E">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（九）列支基建费；</w:t>
      </w:r>
    </w:p>
    <w:p w14:paraId="1D2660CA">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（十）设置账外账、随意调账变动支出、随意修改记账凭证、提供虚假财务会计资料等；</w:t>
      </w:r>
    </w:p>
    <w:p w14:paraId="6B339B56">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（十一）其他违反国家财经纪律的行为。</w:t>
      </w:r>
    </w:p>
    <w:p w14:paraId="530C1053">
      <w:pPr>
        <w:widowControl/>
        <w:numPr>
          <w:ilvl w:val="255"/>
          <w:numId w:val="0"/>
        </w:num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十九</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项目预算确有必要调整时，应当按照以下调整范围和权限，履行相关程序：</w:t>
      </w:r>
    </w:p>
    <w:p w14:paraId="116FCC03">
      <w:pPr>
        <w:widowControl/>
        <w:numPr>
          <w:ilvl w:val="255"/>
          <w:numId w:val="0"/>
        </w:num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（一）项目、课题预算总额不变，设备费预算调整的，由项目、课题负责人提出申请，由科学研究院、财务处审批；除设备费外的其他直接费用调整，由项目、课题负责人根据科研活动实际需要可自主安排。</w:t>
      </w:r>
    </w:p>
    <w:p w14:paraId="4B3AE3FC">
      <w:pPr>
        <w:widowControl/>
        <w:numPr>
          <w:ilvl w:val="255"/>
          <w:numId w:val="0"/>
        </w:num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（二）中央财政科研项目预算总额调整，课题间预算调整，变更课题承担单位、课题参与单位，增列外拨资金的，由项目负责人提出申请，经科学研究院审批后，报项目主管部门审批。</w:t>
      </w:r>
    </w:p>
    <w:p w14:paraId="3D67BA84">
      <w:pPr>
        <w:widowControl/>
        <w:numPr>
          <w:ilvl w:val="255"/>
          <w:numId w:val="0"/>
        </w:num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省级财政科研项目预算总额调整，原项目预算未列支外拨资金、增列外拨资金的，由项目负责人提出申请，经科学研究院审批后，报项目主管部门审批。项目预算总额不变、合作单位之间预算调整，应协商一致并重新签订合作协议，经科学研究院审批后，报项目主管部门备案。</w:t>
      </w:r>
    </w:p>
    <w:p w14:paraId="6B209A0F">
      <w:pPr>
        <w:shd w:val="clear" w:color="auto" w:fill="FFFFFF"/>
        <w:autoSpaceDE/>
        <w:autoSpaceDN/>
        <w:adjustRightInd w:val="0"/>
        <w:snapToGrid w:val="0"/>
        <w:spacing w:line="560" w:lineRule="exact"/>
        <w:ind w:firstLine="624"/>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三）中央财政科研项目、课题间接经费预算总额不得调增，可调减用于直接费用。省级科研项目间接经费预算可在间接经费核定比例范围内调增、调减。间接经费预算调整需由项目负责人提出申请，报科学研究院、财务处审批。</w:t>
      </w:r>
    </w:p>
    <w:p w14:paraId="4BA9E7F5">
      <w:pPr>
        <w:shd w:val="clear" w:color="auto" w:fill="FFFFFF"/>
        <w:autoSpaceDE/>
        <w:autoSpaceDN/>
        <w:adjustRightInd w:val="0"/>
        <w:snapToGrid w:val="0"/>
        <w:spacing w:line="560" w:lineRule="exact"/>
        <w:ind w:firstLine="624"/>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对于项目主管部门规定结题后可依据结项等级调增项目间接经费的项目，按照项目主管部门规定处理。依据项目结项等级确定间接经费比例后，间接经费预算调整，由项目负责人提出申请，报科学研究院、财务处审批后，从项目经费中调剂安排。</w:t>
      </w:r>
    </w:p>
    <w:p w14:paraId="4D28937B">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（四）其他财政科研项目的预算调整，按照其管理办法执行。如无相关管理规定，参照省级财政科研项目执行。</w:t>
      </w:r>
    </w:p>
    <w:p w14:paraId="7532C424">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第二十条</w:t>
      </w:r>
      <w:r>
        <w:rPr>
          <w:rFonts w:hint="eastAsia" w:ascii="Times New Roman" w:hAnsi="Times New Roman" w:cs="Times New Roman"/>
          <w:color w:val="000000" w:themeColor="text1"/>
          <w:kern w:val="2"/>
          <w:sz w:val="32"/>
          <w:szCs w:val="32"/>
          <w:lang w:val="en-US" w:bidi="ar-SA"/>
        </w:rPr>
        <w:t xml:space="preserve">  直接费用支出按照上级主管部门批复的预算或调整后的预算开支，据实报账。</w:t>
      </w:r>
    </w:p>
    <w:p w14:paraId="1AC5A961">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第六章  间接经费管理</w:t>
      </w:r>
    </w:p>
    <w:p w14:paraId="20F9E130">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一</w:t>
      </w:r>
      <w:r>
        <w:rPr>
          <w:rFonts w:hint="eastAsia" w:hAnsi="仿宋"/>
          <w:b/>
          <w:bCs/>
          <w:sz w:val="32"/>
          <w:szCs w:val="32"/>
          <w:lang w:val="en-US" w:bidi="ar-SA"/>
        </w:rPr>
        <w:t>条</w:t>
      </w:r>
      <w:r>
        <w:rPr>
          <w:rFonts w:hAnsi="仿宋"/>
          <w:b/>
          <w:bCs/>
          <w:sz w:val="32"/>
          <w:szCs w:val="32"/>
          <w:lang w:val="en-US" w:bidi="ar-SA"/>
        </w:rPr>
        <w:t xml:space="preserve">  </w:t>
      </w:r>
      <w:r>
        <w:rPr>
          <w:rFonts w:hint="eastAsia" w:ascii="Times New Roman" w:hAnsi="Times New Roman" w:cs="Times New Roman"/>
          <w:color w:val="000000" w:themeColor="text1"/>
          <w:kern w:val="2"/>
          <w:sz w:val="32"/>
          <w:szCs w:val="32"/>
          <w:lang w:val="en-US" w:bidi="ar-SA"/>
        </w:rPr>
        <w:t>间接经费纳入学校财务统一管理，统筹安排使用。</w:t>
      </w:r>
    </w:p>
    <w:p w14:paraId="11B43242">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（一）间接经费的分配比例</w:t>
      </w:r>
    </w:p>
    <w:p w14:paraId="024896D0">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学校统筹间接经费总额的</w:t>
      </w:r>
      <w:r>
        <w:rPr>
          <w:rFonts w:ascii="Times New Roman" w:hAnsi="Times New Roman" w:cs="Times New Roman"/>
          <w:color w:val="000000" w:themeColor="text1"/>
          <w:kern w:val="2"/>
          <w:sz w:val="32"/>
          <w:szCs w:val="32"/>
          <w:lang w:val="en-US" w:bidi="ar-SA"/>
        </w:rPr>
        <w:t>30%</w:t>
      </w:r>
      <w:r>
        <w:rPr>
          <w:rFonts w:hint="eastAsia" w:ascii="Times New Roman" w:hAnsi="Times New Roman" w:cs="Times New Roman"/>
          <w:color w:val="000000" w:themeColor="text1"/>
          <w:kern w:val="2"/>
          <w:sz w:val="32"/>
          <w:szCs w:val="32"/>
          <w:lang w:val="en-US" w:bidi="ar-SA"/>
        </w:rPr>
        <w:t>，学院（二级单位）统筹间接经费总额的</w:t>
      </w:r>
      <w:r>
        <w:rPr>
          <w:rFonts w:ascii="Times New Roman" w:hAnsi="Times New Roman" w:cs="Times New Roman"/>
          <w:color w:val="000000" w:themeColor="text1"/>
          <w:kern w:val="2"/>
          <w:sz w:val="32"/>
          <w:szCs w:val="32"/>
          <w:lang w:val="en-US" w:bidi="ar-SA"/>
        </w:rPr>
        <w:t>70%</w:t>
      </w:r>
      <w:r>
        <w:rPr>
          <w:rFonts w:hint="eastAsia" w:ascii="Times New Roman" w:hAnsi="Times New Roman" w:cs="Times New Roman"/>
          <w:color w:val="000000" w:themeColor="text1"/>
          <w:kern w:val="2"/>
          <w:sz w:val="32"/>
          <w:szCs w:val="32"/>
          <w:lang w:val="en-US" w:bidi="ar-SA"/>
        </w:rPr>
        <w:t>。</w:t>
      </w:r>
    </w:p>
    <w:p w14:paraId="0DE73A8E">
      <w:pPr>
        <w:shd w:val="clear" w:color="auto" w:fill="FFFFFF"/>
        <w:autoSpaceDE/>
        <w:autoSpaceDN/>
        <w:adjustRightInd w:val="0"/>
        <w:snapToGrid w:val="0"/>
        <w:spacing w:line="560" w:lineRule="exact"/>
        <w:ind w:firstLine="640" w:firstLineChars="200"/>
        <w:jc w:val="both"/>
        <w:rPr>
          <w:rFonts w:ascii="楷体_GB2312" w:hAnsi="Times New Roman" w:eastAsia="楷体_GB2312" w:cs="Times New Roman"/>
          <w:color w:val="000000" w:themeColor="text1"/>
          <w:kern w:val="2"/>
          <w:sz w:val="32"/>
          <w:szCs w:val="32"/>
          <w:lang w:val="en-US" w:bidi="ar-SA"/>
        </w:rPr>
      </w:pPr>
      <w:r>
        <w:rPr>
          <w:rFonts w:hint="eastAsia" w:ascii="楷体_GB2312" w:hAnsi="Times New Roman" w:eastAsia="楷体_GB2312" w:cs="Times New Roman"/>
          <w:color w:val="000000" w:themeColor="text1"/>
          <w:kern w:val="2"/>
          <w:sz w:val="32"/>
          <w:szCs w:val="32"/>
          <w:lang w:val="en-US" w:bidi="ar-SA"/>
        </w:rPr>
        <w:t>（二）间接经费的支出范围</w:t>
      </w:r>
    </w:p>
    <w:p w14:paraId="3FE2DCAB">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 学校统筹的间接经费为学校管理费，不包含因项目研究产生的水、电、气、暖及房屋租用等资源使用费。</w:t>
      </w:r>
    </w:p>
    <w:p w14:paraId="212766BF">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B050"/>
          <w:kern w:val="2"/>
          <w:sz w:val="32"/>
          <w:szCs w:val="32"/>
          <w:highlight w:val="yellow"/>
          <w:shd w:val="clear" w:color="auto" w:fill="92D050"/>
          <w:lang w:val="en-US" w:bidi="ar-SA"/>
        </w:rPr>
      </w:pPr>
      <w:r>
        <w:rPr>
          <w:rFonts w:ascii="Times New Roman" w:hAnsi="Times New Roman" w:cs="Times New Roman"/>
          <w:color w:val="000000" w:themeColor="text1"/>
          <w:kern w:val="2"/>
          <w:sz w:val="32"/>
          <w:szCs w:val="32"/>
          <w:lang w:val="en-US" w:bidi="ar-SA"/>
        </w:rPr>
        <w:t>2</w:t>
      </w:r>
      <w:r>
        <w:rPr>
          <w:rFonts w:hint="eastAsia" w:ascii="Times New Roman" w:hAnsi="Times New Roman" w:cs="Times New Roman"/>
          <w:color w:val="000000" w:themeColor="text1"/>
          <w:kern w:val="2"/>
          <w:sz w:val="32"/>
          <w:szCs w:val="32"/>
          <w:lang w:val="en-US" w:bidi="ar-SA"/>
        </w:rPr>
        <w:t>. 学院（二级单位）统筹的间接经费主要用于强化学术和资源规范管理，平衡学院运行成本与激励，强化统筹和成果导向，对科研成果、学术诚信、科研伦理、科技安全、经费使用等综合监管评估基础上，突出绩效的激励作用，向做出突出贡献的团队、青年骨干倾斜，对学术不端或违规违纪行为的团队个人取消绩效发放，具体实施细则由各学院（二级单位）自行制定相关文件执行。</w:t>
      </w:r>
    </w:p>
    <w:p w14:paraId="2A1C0443">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二</w:t>
      </w:r>
      <w:r>
        <w:rPr>
          <w:rFonts w:hint="eastAsia" w:hAnsi="仿宋"/>
          <w:b/>
          <w:bCs/>
          <w:sz w:val="32"/>
          <w:szCs w:val="32"/>
          <w:lang w:val="en-US" w:bidi="ar-SA"/>
        </w:rPr>
        <w:t xml:space="preserve">条  </w:t>
      </w:r>
      <w:r>
        <w:rPr>
          <w:rFonts w:hint="eastAsia" w:ascii="Times New Roman" w:hAnsi="Times New Roman" w:cs="Times New Roman"/>
          <w:color w:val="000000" w:themeColor="text1"/>
          <w:kern w:val="2"/>
          <w:sz w:val="32"/>
          <w:szCs w:val="32"/>
          <w:lang w:val="en-US" w:bidi="ar-SA"/>
        </w:rPr>
        <w:t>纵向科研项目组间接经费绩效支出应按照“重贡献、重实效”的分配原则，发放对象为对项目执行做出实际贡献的人员（一般应为项目组成员和实际参与人员，学生除外）。由项目负责人填写绩效支出申请表，经项目组成员签名确认后，报所在单位审批，财务处根据审批的绩效支出申请表予以发放。绩效费发放均纳入个人工资、薪金所得，由财务处代扣代缴个人所得税。</w:t>
      </w:r>
    </w:p>
    <w:p w14:paraId="375751E1">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绩效支出原则上一个项目只提取</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次，在完成结题考核指标后办理结题验收前一次性提取。如若项目金额较大，可在完成阶段性成果后酌情增加绩效支出次数。</w:t>
      </w:r>
    </w:p>
    <w:p w14:paraId="3D91380D">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三</w:t>
      </w:r>
      <w:r>
        <w:rPr>
          <w:rFonts w:hint="eastAsia" w:hAnsi="仿宋"/>
          <w:b/>
          <w:bCs/>
          <w:sz w:val="32"/>
          <w:szCs w:val="32"/>
          <w:lang w:val="en-US" w:bidi="ar-SA"/>
        </w:rPr>
        <w:t xml:space="preserve">条 </w:t>
      </w:r>
      <w:r>
        <w:rPr>
          <w:rFonts w:hAnsi="仿宋"/>
          <w:b/>
          <w:bCs/>
          <w:sz w:val="32"/>
          <w:szCs w:val="32"/>
          <w:lang w:val="en-US" w:bidi="ar-SA"/>
        </w:rPr>
        <w:t xml:space="preserve"> </w:t>
      </w:r>
      <w:r>
        <w:rPr>
          <w:rFonts w:hint="eastAsia" w:ascii="Times New Roman" w:hAnsi="Times New Roman" w:cs="Times New Roman"/>
          <w:color w:val="000000" w:themeColor="text1"/>
          <w:kern w:val="2"/>
          <w:sz w:val="32"/>
          <w:szCs w:val="32"/>
          <w:lang w:val="en-US" w:bidi="ar-SA"/>
        </w:rPr>
        <w:t>项目执行期间存在以下情形之一的，不得发放绩效支出：</w:t>
      </w:r>
    </w:p>
    <w:p w14:paraId="356534BC">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（一）未按要求及时报送项目相关材料，包括计划任务书（合同书）、预算书、年度进展报告、中期总结报告、验收材料及其他相关文件；</w:t>
      </w:r>
    </w:p>
    <w:p w14:paraId="0337F493">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（二）无正当理由，项目未按合同进度执行，或未按期落实上级主管部门提出的整改要求等；</w:t>
      </w:r>
    </w:p>
    <w:p w14:paraId="08F1676D">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（三）存在违反国家法律法规、学校规章制度等以及其他影响学校声誉的行为；</w:t>
      </w:r>
    </w:p>
    <w:p w14:paraId="53FD8D43">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（四）项目负责人未按照各类项目现行规定比例编制间接经费预算。</w:t>
      </w:r>
    </w:p>
    <w:p w14:paraId="53D37452">
      <w:pPr>
        <w:shd w:val="clear" w:color="auto" w:fill="FFFFFF"/>
        <w:autoSpaceDE/>
        <w:autoSpaceDN/>
        <w:adjustRightInd w:val="0"/>
        <w:snapToGrid w:val="0"/>
        <w:spacing w:line="560" w:lineRule="exact"/>
        <w:ind w:firstLine="640" w:firstLineChars="200"/>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对于存在上述各项情形，绩效支出如已发放的，学校有权追回。</w:t>
      </w:r>
    </w:p>
    <w:p w14:paraId="4B68E80C">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四</w:t>
      </w:r>
      <w:r>
        <w:rPr>
          <w:rFonts w:hint="eastAsia" w:hAnsi="仿宋"/>
          <w:b/>
          <w:bCs/>
          <w:sz w:val="32"/>
          <w:szCs w:val="32"/>
          <w:lang w:val="en-US" w:bidi="ar-SA"/>
        </w:rPr>
        <w:t xml:space="preserve">条  </w:t>
      </w:r>
      <w:r>
        <w:rPr>
          <w:rFonts w:hint="eastAsia" w:ascii="Times New Roman" w:hAnsi="Times New Roman" w:cs="Times New Roman"/>
          <w:color w:val="000000" w:themeColor="text1"/>
          <w:kern w:val="2"/>
          <w:sz w:val="32"/>
          <w:szCs w:val="32"/>
          <w:lang w:val="en-US" w:bidi="ar-SA"/>
        </w:rPr>
        <w:t>为执行项目而产生的工程、货物和服务购买业务，按照国家和学校有关采购管理规定执行。</w:t>
      </w:r>
    </w:p>
    <w:p w14:paraId="3FB79BB5">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五</w:t>
      </w:r>
      <w:r>
        <w:rPr>
          <w:rFonts w:hint="eastAsia" w:hAnsi="仿宋"/>
          <w:b/>
          <w:bCs/>
          <w:sz w:val="32"/>
          <w:szCs w:val="32"/>
          <w:lang w:val="en-US" w:bidi="ar-SA"/>
        </w:rPr>
        <w:t xml:space="preserve">条  </w:t>
      </w:r>
      <w:r>
        <w:rPr>
          <w:rFonts w:hint="eastAsia" w:ascii="Times New Roman" w:hAnsi="Times New Roman" w:cs="Times New Roman"/>
          <w:color w:val="000000" w:themeColor="text1"/>
          <w:kern w:val="2"/>
          <w:sz w:val="32"/>
          <w:szCs w:val="32"/>
          <w:lang w:val="en-US" w:bidi="ar-SA"/>
        </w:rPr>
        <w:t>项目执行过程中，应严格执行国家和学校有关的人员聘用、出国审批、修缮工程监管、招标采购、现金银行结算、国库支付等有关的管理制度，并办理必要的人员聘用、出国审批、招投标、修缮工程决算审计、资金支付审批等手续。</w:t>
      </w:r>
    </w:p>
    <w:p w14:paraId="7D7F22CB">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六</w:t>
      </w:r>
      <w:r>
        <w:rPr>
          <w:rFonts w:hint="eastAsia" w:hAnsi="仿宋"/>
          <w:b/>
          <w:bCs/>
          <w:sz w:val="32"/>
          <w:szCs w:val="32"/>
          <w:lang w:val="en-US" w:bidi="ar-SA"/>
        </w:rPr>
        <w:t xml:space="preserve">条  </w:t>
      </w:r>
      <w:r>
        <w:rPr>
          <w:rFonts w:hint="eastAsia" w:ascii="Times New Roman" w:hAnsi="Times New Roman" w:cs="Times New Roman"/>
          <w:color w:val="000000" w:themeColor="text1"/>
          <w:kern w:val="2"/>
          <w:sz w:val="32"/>
          <w:szCs w:val="32"/>
          <w:lang w:val="en-US" w:bidi="ar-SA"/>
        </w:rPr>
        <w:t>项目负责人调离、辞职、身故、被学校辞退、解除聘用或开除的，应及时办理项目负责人交接手续，或由所在单位指定人员办理。在研项目应转给项目组中本校在岗人员继续执行；对无法在校内执行的项目，可向项目主管部门申请变更承担单位；使用项目经费购置的固定资产应移交给原所在单位统筹，否则将不给予其办理离校等手续。</w:t>
      </w:r>
    </w:p>
    <w:p w14:paraId="4AD01B85">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第七章  项目决算与绩效评价</w:t>
      </w:r>
    </w:p>
    <w:p w14:paraId="33E45631">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第二十</w:t>
      </w:r>
      <w:r>
        <w:rPr>
          <w:rFonts w:hAnsi="仿宋"/>
          <w:b/>
          <w:bCs/>
          <w:sz w:val="32"/>
          <w:szCs w:val="32"/>
          <w:lang w:val="en-US" w:bidi="ar-SA"/>
        </w:rPr>
        <w:t>七</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科研项目执行期满后，项目负责人应当会同科研、财务、资产等管理部门及时清理账目与资产，如实编制项目决算。</w:t>
      </w:r>
    </w:p>
    <w:p w14:paraId="59C71E2A">
      <w:pPr>
        <w:shd w:val="clear" w:color="auto" w:fill="FFFFFF"/>
        <w:autoSpaceDE/>
        <w:autoSpaceDN/>
        <w:adjustRightInd w:val="0"/>
        <w:snapToGrid w:val="0"/>
        <w:spacing w:line="560" w:lineRule="exact"/>
        <w:ind w:firstLine="640" w:firstLineChars="200"/>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有多个单位共同承担一个项目的，项目负责人和合作研究单位的参与者应当分别编报项目决算，经所在单位科研、财务管理部门审核并签署意见后，由依托单位项目负责人汇总编制。</w:t>
      </w:r>
    </w:p>
    <w:p w14:paraId="34E08C13">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二十八</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科研项目实施期满后，依据科研项目主管部门和学校审计的要求，项目负责人及时开展结题财务审计。结题审计报告是项目综合绩效评价或结题验收的重要依据。</w:t>
      </w:r>
    </w:p>
    <w:p w14:paraId="11BB8852">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二十九</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科研项目主管部门、委托单位对项目决算有明确规定的，应在项目综合绩效评价或结题验收后及时办理财务结账手续。科研项目主管部门、委托单位对项目结题无明确规定的，学校定期集中办理结题。</w:t>
      </w:r>
    </w:p>
    <w:p w14:paraId="383CCE69">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第三十条</w:t>
      </w:r>
      <w:r>
        <w:rPr>
          <w:rFonts w:hint="eastAsia" w:ascii="Times New Roman" w:hAnsi="Times New Roman" w:cs="Times New Roman"/>
          <w:color w:val="000000" w:themeColor="text1"/>
          <w:kern w:val="2"/>
          <w:sz w:val="32"/>
          <w:szCs w:val="32"/>
          <w:lang w:val="en-US" w:bidi="ar-SA"/>
        </w:rPr>
        <w:t xml:space="preserve">  项目绩效评价结果作为项目调整、后续支持的重要依据，以及主要研发人员业绩考核的参考依据。</w:t>
      </w:r>
    </w:p>
    <w:p w14:paraId="29B74EA5">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hint="eastAsia" w:ascii="黑体" w:hAnsi="黑体" w:eastAsia="黑体"/>
          <w:bCs/>
          <w:sz w:val="32"/>
          <w:szCs w:val="32"/>
        </w:rPr>
        <w:t xml:space="preserve">第八章 </w:t>
      </w:r>
      <w:r>
        <w:rPr>
          <w:rFonts w:ascii="黑体" w:hAnsi="黑体" w:eastAsia="黑体"/>
          <w:bCs/>
          <w:sz w:val="32"/>
          <w:szCs w:val="32"/>
        </w:rPr>
        <w:t xml:space="preserve"> </w:t>
      </w:r>
      <w:r>
        <w:rPr>
          <w:rFonts w:hint="eastAsia" w:ascii="黑体" w:hAnsi="黑体" w:eastAsia="黑体"/>
          <w:bCs/>
          <w:sz w:val="32"/>
          <w:szCs w:val="32"/>
        </w:rPr>
        <w:t>结余经费管理</w:t>
      </w:r>
    </w:p>
    <w:p w14:paraId="660B634F">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第三十一条</w:t>
      </w:r>
      <w:r>
        <w:rPr>
          <w:rFonts w:hint="eastAsia" w:ascii="Times New Roman" w:hAnsi="Times New Roman" w:cs="Times New Roman"/>
          <w:color w:val="000000" w:themeColor="text1"/>
          <w:kern w:val="2"/>
          <w:sz w:val="32"/>
          <w:szCs w:val="32"/>
          <w:lang w:val="en-US" w:bidi="ar-SA"/>
        </w:rPr>
        <w:t xml:space="preserve">  结余经费是指科研项目结题验收通过后或因故终止时，项目经费总收入减去实际总支出和项目验收时认定的预计支出的余额。结余经费数的认定以项目主管部门验收批文为准；项目主管部门无批文的，以审计报告或财务验收专家结论为准；以上均无的，以学校财务决算表结余经费数为准。</w:t>
      </w:r>
    </w:p>
    <w:p w14:paraId="2B45D801">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第三十二条</w:t>
      </w:r>
      <w:r>
        <w:rPr>
          <w:rFonts w:hint="eastAsia" w:ascii="Times New Roman" w:hAnsi="Times New Roman" w:cs="Times New Roman"/>
          <w:color w:val="000000" w:themeColor="text1"/>
          <w:kern w:val="2"/>
          <w:sz w:val="32"/>
          <w:szCs w:val="32"/>
          <w:lang w:val="en-US" w:bidi="ar-SA"/>
        </w:rPr>
        <w:t xml:space="preserve">  项目未完成任务目标，或未通过综合绩效评价的，或未通过结题验收的，结余资金按照主管部门要求执行。</w:t>
      </w:r>
    </w:p>
    <w:p w14:paraId="21F31B7B">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w:t>
      </w:r>
      <w:r>
        <w:rPr>
          <w:rFonts w:hAnsi="仿宋"/>
          <w:b/>
          <w:bCs/>
          <w:sz w:val="32"/>
          <w:szCs w:val="32"/>
          <w:lang w:val="en-US" w:bidi="ar-SA"/>
        </w:rPr>
        <w:t>三</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科研项目因故到期未结题的，应及时向项目主管部门申请延期或中止项目；无故逾期两年未结题的，原则上停止经费使用，结余经费按原渠道退回项目主管部门或由学校收回统筹。</w:t>
      </w:r>
    </w:p>
    <w:p w14:paraId="2995FFF9">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w:t>
      </w:r>
      <w:r>
        <w:rPr>
          <w:rFonts w:hAnsi="仿宋"/>
          <w:b/>
          <w:bCs/>
          <w:sz w:val="32"/>
          <w:szCs w:val="32"/>
          <w:lang w:val="en-US" w:bidi="ar-SA"/>
        </w:rPr>
        <w:t>四</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因故被终止执行或被撤销、未通过验收和整改后通过验收等情况，被项目主管部门要求退回结余经费的，项目负责人应根据项目主管部门的验收意见，经科学研究院、财务处审核后及时足额退回结余经费。</w:t>
      </w:r>
    </w:p>
    <w:p w14:paraId="6A8A9C34">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w:t>
      </w:r>
      <w:r>
        <w:rPr>
          <w:rFonts w:hAnsi="仿宋"/>
          <w:b/>
          <w:bCs/>
          <w:sz w:val="32"/>
          <w:szCs w:val="32"/>
          <w:lang w:val="en-US" w:bidi="ar-SA"/>
        </w:rPr>
        <w:t>五</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科研项目结题验收通过后，项目负责人不得再调整、变动结题决算前的项目收支。由上级主管部门开展审计检查提出调整的除外。</w:t>
      </w:r>
    </w:p>
    <w:p w14:paraId="4B346579">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第三十</w:t>
      </w:r>
      <w:r>
        <w:rPr>
          <w:rFonts w:hAnsi="仿宋"/>
          <w:b/>
          <w:bCs/>
          <w:sz w:val="32"/>
          <w:szCs w:val="32"/>
          <w:lang w:val="en-US" w:bidi="ar-SA"/>
        </w:rPr>
        <w:t>六</w:t>
      </w:r>
      <w:r>
        <w:rPr>
          <w:rFonts w:hint="eastAsia" w:hAnsi="仿宋"/>
          <w:b/>
          <w:bCs/>
          <w:sz w:val="32"/>
          <w:szCs w:val="32"/>
          <w:lang w:val="en-US" w:bidi="ar-SA"/>
        </w:rPr>
        <w:t>条</w:t>
      </w:r>
      <w:r>
        <w:rPr>
          <w:rFonts w:hint="eastAsia" w:ascii="Times New Roman" w:hAnsi="Times New Roman" w:cs="Times New Roman"/>
          <w:color w:val="000000" w:themeColor="text1"/>
          <w:kern w:val="2"/>
          <w:sz w:val="32"/>
          <w:szCs w:val="32"/>
          <w:lang w:val="en-US" w:bidi="ar-SA"/>
        </w:rPr>
        <w:t xml:space="preserve">  科研项目结题验收通过后，结余资金留用原项目团队使用两年（自项目结题验收后次年</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月</w:t>
      </w:r>
      <w:r>
        <w:rPr>
          <w:rFonts w:ascii="Times New Roman" w:hAnsi="Times New Roman" w:cs="Times New Roman"/>
          <w:color w:val="000000" w:themeColor="text1"/>
          <w:kern w:val="2"/>
          <w:sz w:val="32"/>
          <w:szCs w:val="32"/>
          <w:lang w:val="en-US" w:bidi="ar-SA"/>
        </w:rPr>
        <w:t>1</w:t>
      </w:r>
      <w:r>
        <w:rPr>
          <w:rFonts w:hint="eastAsia" w:ascii="Times New Roman" w:hAnsi="Times New Roman" w:cs="Times New Roman"/>
          <w:color w:val="000000" w:themeColor="text1"/>
          <w:kern w:val="2"/>
          <w:sz w:val="32"/>
          <w:szCs w:val="32"/>
          <w:lang w:val="en-US" w:bidi="ar-SA"/>
        </w:rPr>
        <w:t>日起计算），用于科研活动的直接费用支出。结余资金两年后仍有剩余，原则上剩余的全部资金收归学校统筹使用，用于全校性科研活动的直接支出等，进一步健全结余资金盘活机制，加快资金使用进度。如项目主管部门对项目结余经费有明确规定或约定的，按项目主管部门规定执行。</w:t>
      </w:r>
    </w:p>
    <w:p w14:paraId="67CE53B1">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九</w:t>
      </w:r>
      <w:r>
        <w:rPr>
          <w:rFonts w:ascii="黑体" w:hAnsi="黑体" w:eastAsia="黑体"/>
          <w:bCs/>
          <w:sz w:val="32"/>
          <w:szCs w:val="32"/>
        </w:rPr>
        <w:t>章  监督检查与责任追究</w:t>
      </w:r>
    </w:p>
    <w:p w14:paraId="3BAA2143">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三十</w:t>
      </w:r>
      <w:r>
        <w:rPr>
          <w:rFonts w:hint="eastAsia" w:hAnsi="仿宋"/>
          <w:b/>
          <w:bCs/>
          <w:sz w:val="32"/>
          <w:szCs w:val="32"/>
          <w:lang w:val="en-US" w:bidi="ar-SA"/>
        </w:rPr>
        <w:t>七条</w:t>
      </w:r>
      <w:r>
        <w:rPr>
          <w:rFonts w:hint="eastAsia" w:ascii="Times New Roman" w:hAnsi="Times New Roman" w:cs="Times New Roman"/>
          <w:color w:val="000000" w:themeColor="text1"/>
          <w:kern w:val="2"/>
          <w:sz w:val="32"/>
          <w:szCs w:val="32"/>
          <w:lang w:val="en-US" w:bidi="ar-SA"/>
        </w:rPr>
        <w:t xml:space="preserve">  项目负责人自觉接受各级部门的监督检查。</w:t>
      </w:r>
    </w:p>
    <w:p w14:paraId="3B269BA4">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w:t>
      </w:r>
      <w:r>
        <w:rPr>
          <w:rFonts w:hAnsi="仿宋"/>
          <w:b/>
          <w:bCs/>
          <w:sz w:val="32"/>
          <w:szCs w:val="32"/>
          <w:lang w:val="en-US" w:bidi="ar-SA"/>
        </w:rPr>
        <w:t>三十</w:t>
      </w:r>
      <w:r>
        <w:rPr>
          <w:rFonts w:hint="eastAsia" w:hAnsi="仿宋"/>
          <w:b/>
          <w:bCs/>
          <w:sz w:val="32"/>
          <w:szCs w:val="32"/>
          <w:lang w:val="en-US" w:bidi="ar-SA"/>
        </w:rPr>
        <w:t>八条</w:t>
      </w:r>
      <w:r>
        <w:rPr>
          <w:rFonts w:hint="eastAsia" w:ascii="Times New Roman" w:hAnsi="Times New Roman" w:cs="Times New Roman"/>
          <w:color w:val="000000" w:themeColor="text1"/>
          <w:kern w:val="2"/>
          <w:sz w:val="32"/>
          <w:szCs w:val="32"/>
          <w:lang w:val="en-US" w:bidi="ar-SA"/>
        </w:rPr>
        <w:t xml:space="preserve">  建立健全信用管理机制，对项目负责人在科研资金管理使用过程中出现的失信情况，纳入信用记录管理，并作为项目负责人绩效考评的依据。</w:t>
      </w:r>
    </w:p>
    <w:p w14:paraId="411FD60F">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 xml:space="preserve">第三十九条  </w:t>
      </w:r>
      <w:r>
        <w:rPr>
          <w:rFonts w:hint="eastAsia" w:ascii="Times New Roman" w:hAnsi="Times New Roman" w:cs="Times New Roman"/>
          <w:color w:val="000000" w:themeColor="text1"/>
          <w:kern w:val="2"/>
          <w:sz w:val="32"/>
          <w:szCs w:val="32"/>
          <w:lang w:val="en-US" w:bidi="ar-SA"/>
        </w:rPr>
        <w:t>对违规使用资金的行为，视情节轻重，进行通报批评、冻结资金使用、终止项目执行、取消该项目相关业绩以及取消项目承担者一定期限内项目申报资格等处理。</w:t>
      </w:r>
    </w:p>
    <w:p w14:paraId="6F510AE2">
      <w:pPr>
        <w:shd w:val="clear" w:color="auto" w:fill="FFFFFF"/>
        <w:autoSpaceDE/>
        <w:autoSpaceDN/>
        <w:adjustRightInd w:val="0"/>
        <w:snapToGrid w:val="0"/>
        <w:spacing w:line="560" w:lineRule="exact"/>
        <w:ind w:firstLine="624"/>
        <w:jc w:val="both"/>
        <w:rPr>
          <w:rFonts w:ascii="Times New Roman" w:hAnsi="Times New Roman" w:cs="Times New Roman"/>
          <w:color w:val="000000" w:themeColor="text1"/>
          <w:kern w:val="2"/>
          <w:sz w:val="32"/>
          <w:szCs w:val="32"/>
          <w:lang w:val="en-US" w:bidi="ar-SA"/>
        </w:rPr>
      </w:pPr>
      <w:r>
        <w:rPr>
          <w:rFonts w:hint="eastAsia" w:ascii="Times New Roman" w:hAnsi="Times New Roman" w:cs="Times New Roman"/>
          <w:color w:val="000000" w:themeColor="text1"/>
          <w:kern w:val="2"/>
          <w:sz w:val="32"/>
          <w:szCs w:val="32"/>
          <w:lang w:val="en-US" w:bidi="ar-SA"/>
        </w:rPr>
        <w:t>涉及违纪违规的，移交纪检监察部门依照有关规定处理；涉嫌犯罪的，移送有关机关依法处理。</w:t>
      </w:r>
    </w:p>
    <w:p w14:paraId="16C3290F">
      <w:pPr>
        <w:shd w:val="clear" w:color="auto" w:fill="FFFFFF"/>
        <w:autoSpaceDE/>
        <w:autoSpaceDN/>
        <w:adjustRightInd w:val="0"/>
        <w:snapToGrid w:val="0"/>
        <w:spacing w:before="120" w:beforeLines="50" w:after="120" w:afterLines="50" w:line="560" w:lineRule="exact"/>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十</w:t>
      </w:r>
      <w:r>
        <w:rPr>
          <w:rFonts w:ascii="黑体" w:hAnsi="黑体" w:eastAsia="黑体"/>
          <w:bCs/>
          <w:sz w:val="32"/>
          <w:szCs w:val="32"/>
        </w:rPr>
        <w:t>章  附  则</w:t>
      </w:r>
    </w:p>
    <w:p w14:paraId="2143256A">
      <w:pPr>
        <w:shd w:val="clear" w:color="auto" w:fill="FFFFFF"/>
        <w:autoSpaceDE/>
        <w:autoSpaceDN/>
        <w:adjustRightInd w:val="0"/>
        <w:snapToGrid w:val="0"/>
        <w:spacing w:line="560" w:lineRule="exact"/>
        <w:ind w:firstLine="643" w:firstLineChars="200"/>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第四十条</w:t>
      </w:r>
      <w:r>
        <w:rPr>
          <w:rFonts w:hint="eastAsia" w:ascii="Times New Roman" w:hAnsi="Times New Roman" w:cs="Times New Roman"/>
          <w:color w:val="000000" w:themeColor="text1"/>
          <w:kern w:val="2"/>
          <w:sz w:val="32"/>
          <w:szCs w:val="32"/>
          <w:lang w:val="en-US" w:bidi="ar-SA"/>
        </w:rPr>
        <w:t xml:space="preserve">  本办法规定若与项目主管部门有关规定不一致的，按项目主管部门有关规定执行；与学校其他规定不一致的，按本办法执行。</w:t>
      </w:r>
    </w:p>
    <w:p w14:paraId="45569197">
      <w:pPr>
        <w:shd w:val="clear" w:color="auto" w:fill="FFFFFF"/>
        <w:autoSpaceDE/>
        <w:autoSpaceDN/>
        <w:adjustRightInd w:val="0"/>
        <w:snapToGrid w:val="0"/>
        <w:spacing w:line="560" w:lineRule="exact"/>
        <w:ind w:firstLine="643" w:firstLineChars="200"/>
        <w:jc w:val="both"/>
        <w:rPr>
          <w:rFonts w:ascii="Times New Roman" w:hAnsi="Times New Roman" w:cs="Times New Roman"/>
          <w:color w:val="000000" w:themeColor="text1"/>
          <w:kern w:val="2"/>
          <w:sz w:val="32"/>
          <w:szCs w:val="32"/>
          <w:lang w:val="en-US" w:bidi="ar-SA"/>
        </w:rPr>
      </w:pPr>
      <w:r>
        <w:rPr>
          <w:rFonts w:hint="eastAsia" w:hAnsi="仿宋"/>
          <w:b/>
          <w:bCs/>
          <w:sz w:val="32"/>
          <w:szCs w:val="32"/>
          <w:lang w:val="en-US" w:bidi="ar-SA"/>
        </w:rPr>
        <w:t xml:space="preserve">第四十一条  </w:t>
      </w:r>
      <w:r>
        <w:rPr>
          <w:rFonts w:hint="eastAsia" w:ascii="Times New Roman" w:hAnsi="Times New Roman" w:cs="Times New Roman"/>
          <w:color w:val="000000" w:themeColor="text1"/>
          <w:kern w:val="2"/>
          <w:sz w:val="32"/>
          <w:szCs w:val="32"/>
          <w:lang w:val="en-US" w:bidi="ar-SA"/>
        </w:rPr>
        <w:t>本办法自公布之日起施行，原《华南农业大学纵向科研资金管理办法》（华南农办〔</w:t>
      </w:r>
      <w:r>
        <w:rPr>
          <w:rFonts w:ascii="Times New Roman" w:hAnsi="Times New Roman" w:cs="Times New Roman"/>
          <w:color w:val="000000" w:themeColor="text1"/>
          <w:kern w:val="2"/>
          <w:sz w:val="32"/>
          <w:szCs w:val="32"/>
          <w:lang w:val="en-US" w:bidi="ar-SA"/>
        </w:rPr>
        <w:t>2020</w:t>
      </w: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123</w:t>
      </w:r>
      <w:r>
        <w:rPr>
          <w:rFonts w:hint="eastAsia" w:ascii="Times New Roman" w:hAnsi="Times New Roman" w:cs="Times New Roman"/>
          <w:color w:val="000000" w:themeColor="text1"/>
          <w:kern w:val="2"/>
          <w:sz w:val="32"/>
          <w:szCs w:val="32"/>
          <w:lang w:val="en-US" w:bidi="ar-SA"/>
        </w:rPr>
        <w:t>号）、《华南农业大学纵向科研项目结余经费管理办法（试行）》（华南农办〔</w:t>
      </w:r>
      <w:r>
        <w:rPr>
          <w:rFonts w:ascii="Times New Roman" w:hAnsi="Times New Roman" w:cs="Times New Roman"/>
          <w:color w:val="000000" w:themeColor="text1"/>
          <w:kern w:val="2"/>
          <w:sz w:val="32"/>
          <w:szCs w:val="32"/>
          <w:lang w:val="en-US" w:bidi="ar-SA"/>
        </w:rPr>
        <w:t>2017</w:t>
      </w:r>
      <w:r>
        <w:rPr>
          <w:rFonts w:hint="eastAsia" w:ascii="Times New Roman" w:hAnsi="Times New Roman" w:cs="Times New Roman"/>
          <w:color w:val="000000" w:themeColor="text1"/>
          <w:kern w:val="2"/>
          <w:sz w:val="32"/>
          <w:szCs w:val="32"/>
          <w:lang w:val="en-US" w:bidi="ar-SA"/>
        </w:rPr>
        <w:t>〕</w:t>
      </w:r>
      <w:r>
        <w:rPr>
          <w:rFonts w:ascii="Times New Roman" w:hAnsi="Times New Roman" w:cs="Times New Roman"/>
          <w:color w:val="000000" w:themeColor="text1"/>
          <w:kern w:val="2"/>
          <w:sz w:val="32"/>
          <w:szCs w:val="32"/>
          <w:lang w:val="en-US" w:bidi="ar-SA"/>
        </w:rPr>
        <w:t>56</w:t>
      </w:r>
      <w:r>
        <w:rPr>
          <w:rFonts w:hint="eastAsia" w:ascii="Times New Roman" w:hAnsi="Times New Roman" w:cs="Times New Roman"/>
          <w:color w:val="000000" w:themeColor="text1"/>
          <w:kern w:val="2"/>
          <w:sz w:val="32"/>
          <w:szCs w:val="32"/>
          <w:lang w:val="en-US" w:bidi="ar-SA"/>
        </w:rPr>
        <w:t>号）同时废除。本办法自公布实施之日起，新增立项项目按本办法执行。</w:t>
      </w:r>
    </w:p>
    <w:p w14:paraId="42D7FEF2">
      <w:pPr>
        <w:shd w:val="clear" w:color="auto" w:fill="FFFFFF"/>
        <w:autoSpaceDE/>
        <w:autoSpaceDN/>
        <w:adjustRightInd w:val="0"/>
        <w:snapToGrid w:val="0"/>
        <w:spacing w:line="560" w:lineRule="exact"/>
        <w:ind w:firstLine="643" w:firstLineChars="200"/>
        <w:jc w:val="both"/>
        <w:rPr>
          <w:sz w:val="32"/>
        </w:rPr>
      </w:pPr>
      <w:r>
        <w:rPr>
          <w:b/>
          <w:sz w:val="32"/>
        </w:rPr>
        <w:t>第</w:t>
      </w:r>
      <w:r>
        <w:rPr>
          <w:rFonts w:hint="eastAsia"/>
          <w:b/>
          <w:sz w:val="32"/>
        </w:rPr>
        <w:t>四十</w:t>
      </w:r>
      <w:r>
        <w:rPr>
          <w:rFonts w:hint="eastAsia"/>
          <w:b/>
          <w:sz w:val="32"/>
          <w:lang w:val="en-US"/>
        </w:rPr>
        <w:t>二</w:t>
      </w:r>
      <w:r>
        <w:rPr>
          <w:b/>
          <w:sz w:val="32"/>
        </w:rPr>
        <w:t>条</w:t>
      </w:r>
      <w:r>
        <w:rPr>
          <w:rFonts w:hint="eastAsia"/>
          <w:b/>
          <w:sz w:val="32"/>
          <w:lang w:val="en-US"/>
        </w:rPr>
        <w:t xml:space="preserve">  </w:t>
      </w:r>
      <w:r>
        <w:rPr>
          <w:sz w:val="32"/>
        </w:rPr>
        <w:t>本办法由科学研究院、财务处负责解释。</w:t>
      </w:r>
    </w:p>
    <w:p w14:paraId="4E9E7858">
      <w:pPr>
        <w:pStyle w:val="5"/>
        <w:spacing w:line="560" w:lineRule="exact"/>
        <w:rPr>
          <w:sz w:val="25"/>
        </w:rPr>
      </w:pPr>
    </w:p>
    <w:p w14:paraId="034AF36B">
      <w:pPr>
        <w:pStyle w:val="5"/>
        <w:spacing w:line="560" w:lineRule="exact"/>
        <w:ind w:firstLine="640" w:firstLineChars="200"/>
      </w:pPr>
      <w:r>
        <w:t>附件：</w:t>
      </w:r>
      <w:r>
        <w:rPr>
          <w:rFonts w:ascii="Times New Roman" w:hAnsi="Times New Roman" w:eastAsia="Times New Roman" w:cs="Times New Roman"/>
        </w:rPr>
        <w:t>1</w:t>
      </w:r>
      <w:r>
        <w:t>. 课题组绩效考核支出申请表</w:t>
      </w:r>
    </w:p>
    <w:p w14:paraId="11F00074">
      <w:pPr>
        <w:pStyle w:val="17"/>
        <w:numPr>
          <w:ilvl w:val="255"/>
          <w:numId w:val="0"/>
        </w:numPr>
        <w:tabs>
          <w:tab w:val="left" w:pos="2500"/>
        </w:tabs>
        <w:spacing w:before="0" w:line="560" w:lineRule="exact"/>
        <w:ind w:left="2122" w:leftChars="722" w:hanging="534" w:hangingChars="168"/>
        <w:rPr>
          <w:sz w:val="32"/>
        </w:rPr>
      </w:pPr>
      <w:r>
        <w:rPr>
          <w:rFonts w:ascii="Times New Roman" w:hAnsi="Times New Roman" w:cs="Times New Roman"/>
          <w:spacing w:val="-1"/>
          <w:sz w:val="32"/>
          <w:lang w:val="en-US"/>
        </w:rPr>
        <w:t>2</w:t>
      </w:r>
      <w:r>
        <w:rPr>
          <w:rFonts w:hint="eastAsia"/>
          <w:spacing w:val="-1"/>
          <w:sz w:val="32"/>
          <w:lang w:val="en-US"/>
        </w:rPr>
        <w:t>.</w:t>
      </w:r>
      <w:r>
        <w:rPr>
          <w:spacing w:val="-1"/>
          <w:sz w:val="32"/>
          <w:lang w:val="en-US"/>
        </w:rPr>
        <w:t xml:space="preserve"> </w:t>
      </w:r>
      <w:r>
        <w:rPr>
          <w:spacing w:val="-1"/>
          <w:sz w:val="32"/>
        </w:rPr>
        <w:t>华南农业大学纵向科研项目经费预算</w:t>
      </w:r>
      <w:r>
        <w:rPr>
          <w:sz w:val="32"/>
        </w:rPr>
        <w:t>调整申请及审批表</w:t>
      </w:r>
    </w:p>
    <w:p w14:paraId="329E777A">
      <w:pPr>
        <w:pStyle w:val="17"/>
        <w:numPr>
          <w:ilvl w:val="255"/>
          <w:numId w:val="0"/>
        </w:numPr>
        <w:tabs>
          <w:tab w:val="left" w:pos="2500"/>
        </w:tabs>
        <w:spacing w:line="360" w:lineRule="auto"/>
        <w:ind w:firstLine="1600" w:firstLineChars="500"/>
        <w:rPr>
          <w:rFonts w:ascii="黑体" w:eastAsia="黑体"/>
          <w:spacing w:val="-27"/>
          <w:sz w:val="32"/>
          <w:szCs w:val="32"/>
        </w:rPr>
      </w:pPr>
      <w:r>
        <w:rPr>
          <w:rFonts w:hint="eastAsia"/>
          <w:sz w:val="32"/>
          <w:lang w:val="en-US"/>
        </w:rPr>
        <w:t xml:space="preserve"> </w:t>
      </w:r>
      <w:r>
        <w:rPr>
          <w:rFonts w:ascii="黑体" w:eastAsia="黑体"/>
          <w:spacing w:val="-27"/>
        </w:rPr>
        <w:br w:type="page"/>
      </w:r>
    </w:p>
    <w:p w14:paraId="4B197D80">
      <w:pPr>
        <w:pStyle w:val="5"/>
        <w:spacing w:after="120" w:afterLines="50" w:line="560" w:lineRule="exact"/>
        <w:ind w:left="-2" w:leftChars="-1" w:firstLine="1"/>
        <w:rPr>
          <w:rFonts w:ascii="黑体" w:hAnsi="黑体" w:eastAsia="黑体"/>
          <w:lang w:val="en-US"/>
        </w:rPr>
      </w:pPr>
      <w:r>
        <w:rPr>
          <w:rFonts w:hint="eastAsia" w:ascii="黑体" w:hAnsi="黑体" w:eastAsia="黑体"/>
        </w:rPr>
        <w:t>附件</w:t>
      </w:r>
      <w:r>
        <w:rPr>
          <w:rFonts w:ascii="Times New Roman" w:hAnsi="Times New Roman" w:eastAsia="黑体" w:cs="Times New Roman"/>
          <w:lang w:val="en-US"/>
        </w:rPr>
        <w:t>1</w:t>
      </w:r>
    </w:p>
    <w:p w14:paraId="4BE766BF">
      <w:pPr>
        <w:pStyle w:val="2"/>
        <w:spacing w:after="120" w:afterLines="50" w:line="600" w:lineRule="exact"/>
        <w:ind w:left="0"/>
        <w:jc w:val="center"/>
        <w:rPr>
          <w:rFonts w:ascii="方正小标宋简体" w:eastAsia="方正小标宋简体"/>
        </w:rPr>
      </w:pPr>
      <w:r>
        <w:rPr>
          <w:rFonts w:hint="eastAsia" w:ascii="方正小标宋简体" w:eastAsia="方正小标宋简体"/>
        </w:rPr>
        <w:t>课题组绩效考核支出申请表</w:t>
      </w:r>
    </w:p>
    <w:p w14:paraId="085B89BA">
      <w:pPr>
        <w:spacing w:before="89"/>
        <w:ind w:left="4775" w:firstLine="1680" w:firstLineChars="600"/>
        <w:rPr>
          <w:rFonts w:ascii="仿宋" w:eastAsia="仿宋"/>
          <w:sz w:val="28"/>
        </w:rPr>
      </w:pPr>
      <w:r>
        <w:rPr>
          <w:rFonts w:hint="eastAsia" w:ascii="仿宋" w:eastAsia="仿宋"/>
          <w:sz w:val="28"/>
        </w:rPr>
        <w:t>经办人：</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2569"/>
        <w:gridCol w:w="1904"/>
        <w:gridCol w:w="298"/>
        <w:gridCol w:w="1319"/>
        <w:gridCol w:w="1616"/>
      </w:tblGrid>
      <w:tr w14:paraId="71B93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680" w:type="dxa"/>
          </w:tcPr>
          <w:p w14:paraId="476ECCFC">
            <w:pPr>
              <w:pStyle w:val="18"/>
              <w:spacing w:before="185"/>
              <w:ind w:left="119" w:right="110"/>
              <w:jc w:val="center"/>
              <w:rPr>
                <w:sz w:val="28"/>
                <w:szCs w:val="28"/>
              </w:rPr>
            </w:pPr>
            <w:r>
              <w:rPr>
                <w:sz w:val="28"/>
                <w:szCs w:val="28"/>
              </w:rPr>
              <w:t>课题名称</w:t>
            </w:r>
          </w:p>
        </w:tc>
        <w:tc>
          <w:tcPr>
            <w:tcW w:w="7706" w:type="dxa"/>
            <w:gridSpan w:val="5"/>
          </w:tcPr>
          <w:p w14:paraId="1D29E98F">
            <w:pPr>
              <w:pStyle w:val="18"/>
              <w:rPr>
                <w:rFonts w:ascii="Times New Roman"/>
                <w:sz w:val="28"/>
                <w:szCs w:val="28"/>
              </w:rPr>
            </w:pPr>
          </w:p>
        </w:tc>
      </w:tr>
      <w:tr w14:paraId="775C3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80" w:type="dxa"/>
          </w:tcPr>
          <w:p w14:paraId="219FD99A">
            <w:pPr>
              <w:pStyle w:val="18"/>
              <w:spacing w:before="188"/>
              <w:ind w:left="119" w:right="110"/>
              <w:jc w:val="center"/>
              <w:rPr>
                <w:sz w:val="28"/>
                <w:szCs w:val="28"/>
              </w:rPr>
            </w:pPr>
            <w:r>
              <w:rPr>
                <w:sz w:val="28"/>
                <w:szCs w:val="28"/>
              </w:rPr>
              <w:t>经费卡号</w:t>
            </w:r>
          </w:p>
        </w:tc>
        <w:tc>
          <w:tcPr>
            <w:tcW w:w="2569" w:type="dxa"/>
          </w:tcPr>
          <w:p w14:paraId="47EF05A6">
            <w:pPr>
              <w:pStyle w:val="18"/>
              <w:rPr>
                <w:rFonts w:ascii="Times New Roman"/>
                <w:sz w:val="28"/>
                <w:szCs w:val="28"/>
              </w:rPr>
            </w:pPr>
          </w:p>
        </w:tc>
        <w:tc>
          <w:tcPr>
            <w:tcW w:w="2202" w:type="dxa"/>
            <w:gridSpan w:val="2"/>
          </w:tcPr>
          <w:p w14:paraId="7EA29895">
            <w:pPr>
              <w:pStyle w:val="18"/>
              <w:spacing w:before="188"/>
              <w:ind w:left="258"/>
              <w:rPr>
                <w:sz w:val="28"/>
                <w:szCs w:val="28"/>
              </w:rPr>
            </w:pPr>
            <w:r>
              <w:rPr>
                <w:sz w:val="28"/>
                <w:szCs w:val="28"/>
              </w:rPr>
              <w:t>课题起止时间</w:t>
            </w:r>
          </w:p>
        </w:tc>
        <w:tc>
          <w:tcPr>
            <w:tcW w:w="2935" w:type="dxa"/>
            <w:gridSpan w:val="2"/>
          </w:tcPr>
          <w:p w14:paraId="4CC5A328">
            <w:pPr>
              <w:pStyle w:val="18"/>
              <w:rPr>
                <w:rFonts w:ascii="Times New Roman"/>
                <w:sz w:val="28"/>
                <w:szCs w:val="28"/>
              </w:rPr>
            </w:pPr>
          </w:p>
        </w:tc>
      </w:tr>
      <w:tr w14:paraId="5E5A7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1680" w:type="dxa"/>
          </w:tcPr>
          <w:p w14:paraId="55A61A75">
            <w:pPr>
              <w:pStyle w:val="18"/>
              <w:spacing w:before="5"/>
              <w:rPr>
                <w:rFonts w:ascii="仿宋"/>
                <w:sz w:val="28"/>
                <w:szCs w:val="28"/>
              </w:rPr>
            </w:pPr>
          </w:p>
          <w:p w14:paraId="42361AC3">
            <w:pPr>
              <w:pStyle w:val="18"/>
              <w:spacing w:line="242" w:lineRule="auto"/>
              <w:ind w:left="559" w:right="266" w:hanging="281"/>
              <w:rPr>
                <w:sz w:val="28"/>
                <w:szCs w:val="28"/>
              </w:rPr>
            </w:pPr>
            <w:r>
              <w:rPr>
                <w:sz w:val="28"/>
                <w:szCs w:val="28"/>
              </w:rPr>
              <w:t>课题完成情况</w:t>
            </w:r>
          </w:p>
        </w:tc>
        <w:tc>
          <w:tcPr>
            <w:tcW w:w="7706" w:type="dxa"/>
            <w:gridSpan w:val="5"/>
          </w:tcPr>
          <w:p w14:paraId="3B06F31A">
            <w:pPr>
              <w:pStyle w:val="18"/>
              <w:rPr>
                <w:rFonts w:ascii="Times New Roman"/>
                <w:sz w:val="28"/>
                <w:szCs w:val="28"/>
              </w:rPr>
            </w:pPr>
          </w:p>
        </w:tc>
      </w:tr>
      <w:tr w14:paraId="61149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680" w:type="dxa"/>
            <w:vAlign w:val="center"/>
          </w:tcPr>
          <w:p w14:paraId="581069AB">
            <w:pPr>
              <w:pStyle w:val="18"/>
              <w:ind w:left="119" w:right="110"/>
              <w:jc w:val="center"/>
              <w:rPr>
                <w:sz w:val="28"/>
                <w:szCs w:val="28"/>
              </w:rPr>
            </w:pPr>
            <w:r>
              <w:rPr>
                <w:sz w:val="28"/>
                <w:szCs w:val="28"/>
              </w:rPr>
              <w:t>课题组成员</w:t>
            </w:r>
          </w:p>
        </w:tc>
        <w:tc>
          <w:tcPr>
            <w:tcW w:w="4473" w:type="dxa"/>
            <w:gridSpan w:val="2"/>
            <w:vAlign w:val="center"/>
          </w:tcPr>
          <w:p w14:paraId="6A53F1D1">
            <w:pPr>
              <w:pStyle w:val="18"/>
              <w:ind w:left="1654" w:right="1648"/>
              <w:jc w:val="center"/>
              <w:rPr>
                <w:sz w:val="28"/>
                <w:szCs w:val="28"/>
              </w:rPr>
            </w:pPr>
            <w:r>
              <w:rPr>
                <w:sz w:val="28"/>
                <w:szCs w:val="28"/>
              </w:rPr>
              <w:t>科研实绩</w:t>
            </w:r>
          </w:p>
        </w:tc>
        <w:tc>
          <w:tcPr>
            <w:tcW w:w="1617" w:type="dxa"/>
            <w:gridSpan w:val="2"/>
          </w:tcPr>
          <w:p w14:paraId="2B7F5736">
            <w:pPr>
              <w:pStyle w:val="18"/>
              <w:spacing w:before="65" w:line="242" w:lineRule="auto"/>
              <w:ind w:left="246" w:right="235"/>
              <w:rPr>
                <w:sz w:val="28"/>
                <w:szCs w:val="28"/>
              </w:rPr>
            </w:pPr>
            <w:r>
              <w:rPr>
                <w:sz w:val="28"/>
                <w:szCs w:val="28"/>
              </w:rPr>
              <w:t>绩效支出金额(元)</w:t>
            </w:r>
          </w:p>
        </w:tc>
        <w:tc>
          <w:tcPr>
            <w:tcW w:w="1616" w:type="dxa"/>
          </w:tcPr>
          <w:p w14:paraId="0A7F882A">
            <w:pPr>
              <w:pStyle w:val="18"/>
              <w:spacing w:before="154"/>
              <w:ind w:left="525"/>
              <w:rPr>
                <w:sz w:val="28"/>
                <w:szCs w:val="28"/>
              </w:rPr>
            </w:pPr>
            <w:r>
              <w:rPr>
                <w:sz w:val="28"/>
                <w:szCs w:val="28"/>
              </w:rPr>
              <w:t>签名</w:t>
            </w:r>
          </w:p>
        </w:tc>
      </w:tr>
      <w:tr w14:paraId="72020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80" w:type="dxa"/>
          </w:tcPr>
          <w:p w14:paraId="7F9E9B19">
            <w:pPr>
              <w:pStyle w:val="18"/>
              <w:rPr>
                <w:rFonts w:ascii="Times New Roman"/>
                <w:sz w:val="28"/>
                <w:szCs w:val="28"/>
              </w:rPr>
            </w:pPr>
          </w:p>
        </w:tc>
        <w:tc>
          <w:tcPr>
            <w:tcW w:w="4473" w:type="dxa"/>
            <w:gridSpan w:val="2"/>
          </w:tcPr>
          <w:p w14:paraId="6D9D7479">
            <w:pPr>
              <w:pStyle w:val="18"/>
              <w:rPr>
                <w:rFonts w:ascii="Times New Roman"/>
                <w:sz w:val="28"/>
                <w:szCs w:val="28"/>
              </w:rPr>
            </w:pPr>
          </w:p>
        </w:tc>
        <w:tc>
          <w:tcPr>
            <w:tcW w:w="1617" w:type="dxa"/>
            <w:gridSpan w:val="2"/>
          </w:tcPr>
          <w:p w14:paraId="47447C69">
            <w:pPr>
              <w:pStyle w:val="18"/>
              <w:rPr>
                <w:rFonts w:ascii="Times New Roman"/>
                <w:sz w:val="28"/>
                <w:szCs w:val="28"/>
              </w:rPr>
            </w:pPr>
          </w:p>
        </w:tc>
        <w:tc>
          <w:tcPr>
            <w:tcW w:w="1616" w:type="dxa"/>
          </w:tcPr>
          <w:p w14:paraId="4DC029F2">
            <w:pPr>
              <w:pStyle w:val="18"/>
              <w:rPr>
                <w:rFonts w:ascii="Times New Roman"/>
                <w:sz w:val="28"/>
                <w:szCs w:val="28"/>
              </w:rPr>
            </w:pPr>
          </w:p>
        </w:tc>
      </w:tr>
      <w:tr w14:paraId="4361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680" w:type="dxa"/>
          </w:tcPr>
          <w:p w14:paraId="7C992E1B">
            <w:pPr>
              <w:pStyle w:val="18"/>
              <w:rPr>
                <w:rFonts w:ascii="Times New Roman"/>
                <w:sz w:val="28"/>
                <w:szCs w:val="28"/>
              </w:rPr>
            </w:pPr>
          </w:p>
        </w:tc>
        <w:tc>
          <w:tcPr>
            <w:tcW w:w="4473" w:type="dxa"/>
            <w:gridSpan w:val="2"/>
          </w:tcPr>
          <w:p w14:paraId="16DA1E32">
            <w:pPr>
              <w:pStyle w:val="18"/>
              <w:rPr>
                <w:rFonts w:ascii="Times New Roman"/>
                <w:sz w:val="28"/>
                <w:szCs w:val="28"/>
              </w:rPr>
            </w:pPr>
          </w:p>
        </w:tc>
        <w:tc>
          <w:tcPr>
            <w:tcW w:w="1617" w:type="dxa"/>
            <w:gridSpan w:val="2"/>
          </w:tcPr>
          <w:p w14:paraId="1FF0584D">
            <w:pPr>
              <w:pStyle w:val="18"/>
              <w:rPr>
                <w:rFonts w:ascii="Times New Roman"/>
                <w:sz w:val="28"/>
                <w:szCs w:val="28"/>
              </w:rPr>
            </w:pPr>
          </w:p>
        </w:tc>
        <w:tc>
          <w:tcPr>
            <w:tcW w:w="1616" w:type="dxa"/>
          </w:tcPr>
          <w:p w14:paraId="79C5BE6F">
            <w:pPr>
              <w:pStyle w:val="18"/>
              <w:rPr>
                <w:rFonts w:ascii="Times New Roman"/>
                <w:sz w:val="28"/>
                <w:szCs w:val="28"/>
              </w:rPr>
            </w:pPr>
          </w:p>
        </w:tc>
      </w:tr>
      <w:tr w14:paraId="48F9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80" w:type="dxa"/>
          </w:tcPr>
          <w:p w14:paraId="1D3749BF">
            <w:pPr>
              <w:pStyle w:val="18"/>
              <w:rPr>
                <w:rFonts w:ascii="Times New Roman"/>
                <w:sz w:val="28"/>
                <w:szCs w:val="28"/>
              </w:rPr>
            </w:pPr>
          </w:p>
        </w:tc>
        <w:tc>
          <w:tcPr>
            <w:tcW w:w="4473" w:type="dxa"/>
            <w:gridSpan w:val="2"/>
          </w:tcPr>
          <w:p w14:paraId="50D994D1">
            <w:pPr>
              <w:pStyle w:val="18"/>
              <w:rPr>
                <w:rFonts w:ascii="Times New Roman"/>
                <w:sz w:val="28"/>
                <w:szCs w:val="28"/>
              </w:rPr>
            </w:pPr>
          </w:p>
        </w:tc>
        <w:tc>
          <w:tcPr>
            <w:tcW w:w="1617" w:type="dxa"/>
            <w:gridSpan w:val="2"/>
          </w:tcPr>
          <w:p w14:paraId="0BAF53FF">
            <w:pPr>
              <w:pStyle w:val="18"/>
              <w:rPr>
                <w:rFonts w:ascii="Times New Roman"/>
                <w:sz w:val="28"/>
                <w:szCs w:val="28"/>
              </w:rPr>
            </w:pPr>
          </w:p>
        </w:tc>
        <w:tc>
          <w:tcPr>
            <w:tcW w:w="1616" w:type="dxa"/>
          </w:tcPr>
          <w:p w14:paraId="42719AC2">
            <w:pPr>
              <w:pStyle w:val="18"/>
              <w:rPr>
                <w:rFonts w:ascii="Times New Roman"/>
                <w:sz w:val="28"/>
                <w:szCs w:val="28"/>
              </w:rPr>
            </w:pPr>
          </w:p>
        </w:tc>
      </w:tr>
      <w:tr w14:paraId="1B7A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680" w:type="dxa"/>
          </w:tcPr>
          <w:p w14:paraId="463B9E71">
            <w:pPr>
              <w:pStyle w:val="18"/>
              <w:rPr>
                <w:rFonts w:ascii="Times New Roman"/>
                <w:sz w:val="28"/>
                <w:szCs w:val="28"/>
              </w:rPr>
            </w:pPr>
          </w:p>
        </w:tc>
        <w:tc>
          <w:tcPr>
            <w:tcW w:w="4473" w:type="dxa"/>
            <w:gridSpan w:val="2"/>
          </w:tcPr>
          <w:p w14:paraId="2BBB1D6A">
            <w:pPr>
              <w:pStyle w:val="18"/>
              <w:rPr>
                <w:rFonts w:ascii="Times New Roman"/>
                <w:sz w:val="28"/>
                <w:szCs w:val="28"/>
              </w:rPr>
            </w:pPr>
          </w:p>
        </w:tc>
        <w:tc>
          <w:tcPr>
            <w:tcW w:w="1617" w:type="dxa"/>
            <w:gridSpan w:val="2"/>
          </w:tcPr>
          <w:p w14:paraId="15D259C3">
            <w:pPr>
              <w:pStyle w:val="18"/>
              <w:rPr>
                <w:rFonts w:ascii="Times New Roman"/>
                <w:sz w:val="28"/>
                <w:szCs w:val="28"/>
              </w:rPr>
            </w:pPr>
          </w:p>
        </w:tc>
        <w:tc>
          <w:tcPr>
            <w:tcW w:w="1616" w:type="dxa"/>
          </w:tcPr>
          <w:p w14:paraId="15563046">
            <w:pPr>
              <w:pStyle w:val="18"/>
              <w:rPr>
                <w:rFonts w:ascii="Times New Roman"/>
                <w:sz w:val="28"/>
                <w:szCs w:val="28"/>
              </w:rPr>
            </w:pPr>
          </w:p>
        </w:tc>
      </w:tr>
      <w:tr w14:paraId="50F7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680" w:type="dxa"/>
          </w:tcPr>
          <w:p w14:paraId="13AEF1B2">
            <w:pPr>
              <w:pStyle w:val="18"/>
              <w:rPr>
                <w:rFonts w:ascii="Times New Roman"/>
                <w:sz w:val="28"/>
                <w:szCs w:val="28"/>
              </w:rPr>
            </w:pPr>
          </w:p>
        </w:tc>
        <w:tc>
          <w:tcPr>
            <w:tcW w:w="4473" w:type="dxa"/>
            <w:gridSpan w:val="2"/>
          </w:tcPr>
          <w:p w14:paraId="38F45242">
            <w:pPr>
              <w:pStyle w:val="18"/>
              <w:rPr>
                <w:rFonts w:ascii="Times New Roman"/>
                <w:sz w:val="28"/>
                <w:szCs w:val="28"/>
              </w:rPr>
            </w:pPr>
          </w:p>
        </w:tc>
        <w:tc>
          <w:tcPr>
            <w:tcW w:w="1617" w:type="dxa"/>
            <w:gridSpan w:val="2"/>
          </w:tcPr>
          <w:p w14:paraId="51E99FAF">
            <w:pPr>
              <w:pStyle w:val="18"/>
              <w:rPr>
                <w:rFonts w:ascii="Times New Roman"/>
                <w:sz w:val="28"/>
                <w:szCs w:val="28"/>
              </w:rPr>
            </w:pPr>
          </w:p>
        </w:tc>
        <w:tc>
          <w:tcPr>
            <w:tcW w:w="1616" w:type="dxa"/>
          </w:tcPr>
          <w:p w14:paraId="1E71EF7B">
            <w:pPr>
              <w:pStyle w:val="18"/>
              <w:rPr>
                <w:rFonts w:ascii="Times New Roman"/>
                <w:sz w:val="28"/>
                <w:szCs w:val="28"/>
              </w:rPr>
            </w:pPr>
          </w:p>
        </w:tc>
      </w:tr>
      <w:tr w14:paraId="03F2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680" w:type="dxa"/>
          </w:tcPr>
          <w:p w14:paraId="08232D68">
            <w:pPr>
              <w:pStyle w:val="18"/>
              <w:rPr>
                <w:rFonts w:ascii="Times New Roman"/>
                <w:sz w:val="28"/>
                <w:szCs w:val="28"/>
              </w:rPr>
            </w:pPr>
          </w:p>
        </w:tc>
        <w:tc>
          <w:tcPr>
            <w:tcW w:w="4473" w:type="dxa"/>
            <w:gridSpan w:val="2"/>
          </w:tcPr>
          <w:p w14:paraId="6DFF780F">
            <w:pPr>
              <w:pStyle w:val="18"/>
              <w:rPr>
                <w:rFonts w:ascii="Times New Roman"/>
                <w:sz w:val="28"/>
                <w:szCs w:val="28"/>
              </w:rPr>
            </w:pPr>
          </w:p>
        </w:tc>
        <w:tc>
          <w:tcPr>
            <w:tcW w:w="1617" w:type="dxa"/>
            <w:gridSpan w:val="2"/>
          </w:tcPr>
          <w:p w14:paraId="480BA789">
            <w:pPr>
              <w:pStyle w:val="18"/>
              <w:rPr>
                <w:rFonts w:ascii="Times New Roman"/>
                <w:sz w:val="28"/>
                <w:szCs w:val="28"/>
              </w:rPr>
            </w:pPr>
          </w:p>
        </w:tc>
        <w:tc>
          <w:tcPr>
            <w:tcW w:w="1616" w:type="dxa"/>
          </w:tcPr>
          <w:p w14:paraId="736BE2BF">
            <w:pPr>
              <w:pStyle w:val="18"/>
              <w:rPr>
                <w:rFonts w:ascii="Times New Roman"/>
                <w:sz w:val="28"/>
                <w:szCs w:val="28"/>
              </w:rPr>
            </w:pPr>
          </w:p>
        </w:tc>
      </w:tr>
      <w:tr w14:paraId="2B9A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1680" w:type="dxa"/>
            <w:vAlign w:val="center"/>
          </w:tcPr>
          <w:p w14:paraId="2904FC63">
            <w:pPr>
              <w:pStyle w:val="18"/>
              <w:spacing w:before="171" w:line="242" w:lineRule="auto"/>
              <w:ind w:left="559" w:right="127" w:hanging="420"/>
              <w:rPr>
                <w:sz w:val="28"/>
                <w:szCs w:val="28"/>
              </w:rPr>
            </w:pPr>
            <w:r>
              <w:rPr>
                <w:sz w:val="28"/>
                <w:szCs w:val="28"/>
              </w:rPr>
              <w:t>课题负责人签字</w:t>
            </w:r>
          </w:p>
        </w:tc>
        <w:tc>
          <w:tcPr>
            <w:tcW w:w="7706" w:type="dxa"/>
            <w:gridSpan w:val="5"/>
          </w:tcPr>
          <w:p w14:paraId="3BED1911">
            <w:pPr>
              <w:pStyle w:val="18"/>
              <w:spacing w:before="8"/>
              <w:rPr>
                <w:rFonts w:ascii="仿宋"/>
                <w:sz w:val="28"/>
                <w:szCs w:val="28"/>
              </w:rPr>
            </w:pPr>
          </w:p>
          <w:p w14:paraId="08654AF6">
            <w:pPr>
              <w:pStyle w:val="18"/>
              <w:tabs>
                <w:tab w:val="left" w:pos="2522"/>
                <w:tab w:val="left" w:pos="4202"/>
                <w:tab w:val="left" w:pos="4904"/>
                <w:tab w:val="left" w:pos="5604"/>
              </w:tabs>
              <w:ind w:left="2"/>
              <w:jc w:val="center"/>
              <w:rPr>
                <w:sz w:val="28"/>
                <w:szCs w:val="28"/>
              </w:rPr>
            </w:pPr>
          </w:p>
          <w:p w14:paraId="1869C58D">
            <w:pPr>
              <w:pStyle w:val="18"/>
              <w:tabs>
                <w:tab w:val="left" w:pos="2522"/>
                <w:tab w:val="left" w:pos="4202"/>
                <w:tab w:val="left" w:pos="4904"/>
                <w:tab w:val="left" w:pos="5604"/>
              </w:tabs>
              <w:ind w:left="2"/>
              <w:jc w:val="center"/>
              <w:rPr>
                <w:sz w:val="28"/>
                <w:szCs w:val="28"/>
              </w:rPr>
            </w:pPr>
          </w:p>
          <w:p w14:paraId="02DA12B1">
            <w:pPr>
              <w:pStyle w:val="18"/>
              <w:tabs>
                <w:tab w:val="left" w:pos="2522"/>
                <w:tab w:val="left" w:pos="4202"/>
                <w:tab w:val="left" w:pos="4904"/>
                <w:tab w:val="left" w:pos="5604"/>
              </w:tabs>
              <w:ind w:left="2"/>
              <w:jc w:val="center"/>
              <w:rPr>
                <w:sz w:val="28"/>
                <w:szCs w:val="28"/>
              </w:rPr>
            </w:pPr>
          </w:p>
          <w:p w14:paraId="1CEFC0EB">
            <w:pPr>
              <w:pStyle w:val="18"/>
              <w:tabs>
                <w:tab w:val="left" w:pos="2522"/>
                <w:tab w:val="left" w:pos="4202"/>
                <w:tab w:val="left" w:pos="4904"/>
                <w:tab w:val="left" w:pos="5604"/>
              </w:tabs>
              <w:ind w:left="2"/>
              <w:jc w:val="center"/>
              <w:rPr>
                <w:sz w:val="28"/>
                <w:szCs w:val="28"/>
              </w:rPr>
            </w:pPr>
            <w:r>
              <w:rPr>
                <w:sz w:val="28"/>
                <w:szCs w:val="28"/>
              </w:rPr>
              <w:t>签字：</w:t>
            </w:r>
            <w:r>
              <w:rPr>
                <w:sz w:val="28"/>
                <w:szCs w:val="28"/>
              </w:rPr>
              <w:tab/>
            </w:r>
            <w:r>
              <w:rPr>
                <w:sz w:val="28"/>
                <w:szCs w:val="28"/>
              </w:rPr>
              <w:t>日期：</w:t>
            </w:r>
            <w:r>
              <w:rPr>
                <w:sz w:val="28"/>
                <w:szCs w:val="28"/>
              </w:rPr>
              <w:tab/>
            </w:r>
            <w:r>
              <w:rPr>
                <w:sz w:val="28"/>
                <w:szCs w:val="28"/>
              </w:rPr>
              <w:t>年</w:t>
            </w:r>
            <w:r>
              <w:rPr>
                <w:sz w:val="28"/>
                <w:szCs w:val="28"/>
              </w:rPr>
              <w:tab/>
            </w:r>
            <w:r>
              <w:rPr>
                <w:sz w:val="28"/>
                <w:szCs w:val="28"/>
              </w:rPr>
              <w:t>月</w:t>
            </w:r>
            <w:r>
              <w:rPr>
                <w:sz w:val="28"/>
                <w:szCs w:val="28"/>
              </w:rPr>
              <w:tab/>
            </w:r>
            <w:r>
              <w:rPr>
                <w:sz w:val="28"/>
                <w:szCs w:val="28"/>
              </w:rPr>
              <w:t>日</w:t>
            </w:r>
          </w:p>
        </w:tc>
      </w:tr>
      <w:tr w14:paraId="4B20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680" w:type="dxa"/>
            <w:vAlign w:val="center"/>
          </w:tcPr>
          <w:p w14:paraId="0E411B09">
            <w:pPr>
              <w:pStyle w:val="18"/>
              <w:spacing w:before="106" w:line="244" w:lineRule="auto"/>
              <w:ind w:left="278" w:right="266"/>
              <w:rPr>
                <w:sz w:val="28"/>
                <w:szCs w:val="28"/>
              </w:rPr>
            </w:pPr>
            <w:r>
              <w:rPr>
                <w:rFonts w:hint="eastAsia"/>
                <w:sz w:val="28"/>
                <w:szCs w:val="28"/>
              </w:rPr>
              <w:t>所在单位</w:t>
            </w:r>
            <w:r>
              <w:rPr>
                <w:sz w:val="28"/>
                <w:szCs w:val="28"/>
              </w:rPr>
              <w:t>审核意见</w:t>
            </w:r>
          </w:p>
        </w:tc>
        <w:tc>
          <w:tcPr>
            <w:tcW w:w="7706" w:type="dxa"/>
            <w:gridSpan w:val="5"/>
          </w:tcPr>
          <w:p w14:paraId="062E45B1">
            <w:pPr>
              <w:pStyle w:val="18"/>
              <w:spacing w:before="6"/>
              <w:rPr>
                <w:rFonts w:ascii="仿宋"/>
                <w:sz w:val="28"/>
                <w:szCs w:val="28"/>
              </w:rPr>
            </w:pPr>
          </w:p>
          <w:p w14:paraId="0490FC24">
            <w:pPr>
              <w:pStyle w:val="18"/>
              <w:tabs>
                <w:tab w:val="left" w:pos="2522"/>
                <w:tab w:val="left" w:pos="4202"/>
                <w:tab w:val="left" w:pos="4904"/>
                <w:tab w:val="left" w:pos="5604"/>
              </w:tabs>
              <w:ind w:left="2"/>
              <w:jc w:val="center"/>
              <w:rPr>
                <w:sz w:val="28"/>
                <w:szCs w:val="28"/>
              </w:rPr>
            </w:pPr>
          </w:p>
          <w:p w14:paraId="247B9A5F">
            <w:pPr>
              <w:pStyle w:val="18"/>
              <w:tabs>
                <w:tab w:val="left" w:pos="2522"/>
                <w:tab w:val="left" w:pos="4202"/>
                <w:tab w:val="left" w:pos="4904"/>
                <w:tab w:val="left" w:pos="5604"/>
              </w:tabs>
              <w:ind w:left="2"/>
              <w:jc w:val="center"/>
              <w:rPr>
                <w:sz w:val="28"/>
                <w:szCs w:val="28"/>
              </w:rPr>
            </w:pPr>
          </w:p>
          <w:p w14:paraId="65E48985">
            <w:pPr>
              <w:pStyle w:val="18"/>
              <w:tabs>
                <w:tab w:val="left" w:pos="2522"/>
                <w:tab w:val="left" w:pos="4202"/>
                <w:tab w:val="left" w:pos="4904"/>
                <w:tab w:val="left" w:pos="5604"/>
              </w:tabs>
              <w:ind w:left="2"/>
              <w:jc w:val="center"/>
              <w:rPr>
                <w:sz w:val="28"/>
                <w:szCs w:val="28"/>
              </w:rPr>
            </w:pPr>
          </w:p>
          <w:p w14:paraId="04B768C6">
            <w:pPr>
              <w:pStyle w:val="18"/>
              <w:tabs>
                <w:tab w:val="left" w:pos="2522"/>
                <w:tab w:val="left" w:pos="4202"/>
                <w:tab w:val="left" w:pos="4904"/>
                <w:tab w:val="left" w:pos="5604"/>
              </w:tabs>
              <w:ind w:left="2"/>
              <w:jc w:val="center"/>
              <w:rPr>
                <w:sz w:val="28"/>
                <w:szCs w:val="28"/>
              </w:rPr>
            </w:pPr>
          </w:p>
          <w:p w14:paraId="0ADFA191">
            <w:pPr>
              <w:pStyle w:val="18"/>
              <w:tabs>
                <w:tab w:val="left" w:pos="2522"/>
                <w:tab w:val="left" w:pos="4202"/>
                <w:tab w:val="left" w:pos="4904"/>
                <w:tab w:val="left" w:pos="5604"/>
              </w:tabs>
              <w:ind w:left="2"/>
              <w:jc w:val="center"/>
              <w:rPr>
                <w:sz w:val="28"/>
                <w:szCs w:val="28"/>
              </w:rPr>
            </w:pPr>
            <w:r>
              <w:rPr>
                <w:sz w:val="28"/>
                <w:szCs w:val="28"/>
              </w:rPr>
              <w:t>签字：</w:t>
            </w:r>
            <w:r>
              <w:rPr>
                <w:sz w:val="28"/>
                <w:szCs w:val="28"/>
              </w:rPr>
              <w:tab/>
            </w:r>
            <w:r>
              <w:rPr>
                <w:sz w:val="28"/>
                <w:szCs w:val="28"/>
              </w:rPr>
              <w:t>盖章：</w:t>
            </w:r>
            <w:r>
              <w:rPr>
                <w:sz w:val="28"/>
                <w:szCs w:val="28"/>
              </w:rPr>
              <w:tab/>
            </w:r>
            <w:r>
              <w:rPr>
                <w:sz w:val="28"/>
                <w:szCs w:val="28"/>
              </w:rPr>
              <w:t>年</w:t>
            </w:r>
            <w:r>
              <w:rPr>
                <w:sz w:val="28"/>
                <w:szCs w:val="28"/>
              </w:rPr>
              <w:tab/>
            </w:r>
            <w:r>
              <w:rPr>
                <w:sz w:val="28"/>
                <w:szCs w:val="28"/>
              </w:rPr>
              <w:t>月</w:t>
            </w:r>
            <w:r>
              <w:rPr>
                <w:sz w:val="28"/>
                <w:szCs w:val="28"/>
              </w:rPr>
              <w:tab/>
            </w:r>
            <w:r>
              <w:rPr>
                <w:sz w:val="28"/>
                <w:szCs w:val="28"/>
              </w:rPr>
              <w:t>日</w:t>
            </w:r>
          </w:p>
        </w:tc>
      </w:tr>
    </w:tbl>
    <w:p w14:paraId="79507D19">
      <w:pPr>
        <w:pStyle w:val="5"/>
        <w:spacing w:after="120" w:afterLines="50" w:line="560" w:lineRule="exact"/>
        <w:ind w:left="-2" w:leftChars="-1" w:firstLine="1"/>
        <w:rPr>
          <w:rFonts w:ascii="黑体" w:hAnsi="黑体" w:eastAsia="黑体"/>
        </w:rPr>
      </w:pPr>
      <w:r>
        <w:rPr>
          <w:rFonts w:hint="eastAsia" w:ascii="黑体" w:hAnsi="黑体" w:eastAsia="黑体"/>
        </w:rPr>
        <w:t>附件</w:t>
      </w:r>
      <w:r>
        <w:rPr>
          <w:rFonts w:ascii="Times New Roman" w:hAnsi="Times New Roman" w:eastAsia="黑体" w:cs="Times New Roman"/>
        </w:rPr>
        <w:t>2</w:t>
      </w:r>
    </w:p>
    <w:p w14:paraId="2ACEFEB0">
      <w:pPr>
        <w:pStyle w:val="2"/>
        <w:spacing w:after="120" w:afterLines="50" w:line="600" w:lineRule="exact"/>
        <w:ind w:left="0"/>
        <w:jc w:val="center"/>
        <w:rPr>
          <w:rFonts w:ascii="方正小标宋简体" w:eastAsia="方正小标宋简体"/>
        </w:rPr>
      </w:pPr>
      <w:r>
        <w:rPr>
          <w:rFonts w:hint="eastAsia" w:ascii="方正小标宋简体" w:eastAsia="方正小标宋简体"/>
        </w:rPr>
        <w:t>华南农业大学纵向科研项目经费预算</w:t>
      </w:r>
    </w:p>
    <w:p w14:paraId="53DCB004">
      <w:pPr>
        <w:pStyle w:val="2"/>
        <w:spacing w:after="120" w:afterLines="50" w:line="600" w:lineRule="exact"/>
        <w:ind w:left="0"/>
        <w:jc w:val="center"/>
        <w:rPr>
          <w:rFonts w:ascii="方正小标宋简体" w:eastAsia="方正小标宋简体"/>
        </w:rPr>
      </w:pPr>
      <w:r>
        <w:rPr>
          <w:rFonts w:hint="eastAsia" w:ascii="方正小标宋简体" w:eastAsia="方正小标宋简体"/>
        </w:rPr>
        <w:t>调整申请及审批表</w:t>
      </w:r>
    </w:p>
    <w:p w14:paraId="12991702">
      <w:pPr>
        <w:pStyle w:val="5"/>
        <w:spacing w:before="12"/>
        <w:rPr>
          <w:rFonts w:ascii="Arial Unicode MS"/>
          <w:sz w:val="6"/>
        </w:rPr>
      </w:pPr>
    </w:p>
    <w:tbl>
      <w:tblPr>
        <w:tblStyle w:val="10"/>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
        <w:gridCol w:w="537"/>
        <w:gridCol w:w="4279"/>
        <w:gridCol w:w="1758"/>
        <w:gridCol w:w="1320"/>
        <w:gridCol w:w="1222"/>
        <w:gridCol w:w="97"/>
      </w:tblGrid>
      <w:tr w14:paraId="280E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20" w:type="dxa"/>
            <w:gridSpan w:val="7"/>
            <w:vAlign w:val="center"/>
          </w:tcPr>
          <w:p w14:paraId="3E9AA470">
            <w:pPr>
              <w:pStyle w:val="18"/>
              <w:spacing w:line="360" w:lineRule="exact"/>
              <w:ind w:left="108" w:right="6467"/>
              <w:jc w:val="both"/>
              <w:rPr>
                <w:w w:val="99"/>
                <w:sz w:val="24"/>
              </w:rPr>
            </w:pPr>
          </w:p>
          <w:p w14:paraId="4904BCC7">
            <w:pPr>
              <w:pStyle w:val="18"/>
              <w:spacing w:line="360" w:lineRule="exact"/>
              <w:ind w:left="108" w:right="6467"/>
              <w:jc w:val="both"/>
              <w:rPr>
                <w:spacing w:val="-8"/>
                <w:w w:val="99"/>
                <w:sz w:val="24"/>
              </w:rPr>
            </w:pPr>
            <w:r>
              <w:rPr>
                <w:w w:val="99"/>
                <w:sz w:val="24"/>
              </w:rPr>
              <w:t>项目名称（立项编号</w:t>
            </w:r>
            <w:r>
              <w:rPr>
                <w:spacing w:val="-128"/>
                <w:w w:val="99"/>
                <w:sz w:val="24"/>
              </w:rPr>
              <w:t>）</w:t>
            </w:r>
            <w:r>
              <w:rPr>
                <w:spacing w:val="-8"/>
                <w:w w:val="99"/>
                <w:sz w:val="24"/>
              </w:rPr>
              <w:t>：</w:t>
            </w:r>
          </w:p>
          <w:p w14:paraId="7A9706B4">
            <w:pPr>
              <w:pStyle w:val="18"/>
              <w:spacing w:line="360" w:lineRule="exact"/>
              <w:ind w:left="108" w:right="6467"/>
              <w:jc w:val="both"/>
              <w:rPr>
                <w:w w:val="99"/>
                <w:sz w:val="24"/>
              </w:rPr>
            </w:pPr>
          </w:p>
          <w:p w14:paraId="2E801B18">
            <w:pPr>
              <w:pStyle w:val="18"/>
              <w:spacing w:line="360" w:lineRule="exact"/>
              <w:ind w:left="108" w:right="6467"/>
              <w:jc w:val="both"/>
              <w:rPr>
                <w:spacing w:val="-8"/>
                <w:w w:val="99"/>
                <w:sz w:val="24"/>
              </w:rPr>
            </w:pPr>
            <w:r>
              <w:rPr>
                <w:w w:val="99"/>
                <w:sz w:val="24"/>
              </w:rPr>
              <w:t>项目来源（经费卡号</w:t>
            </w:r>
            <w:r>
              <w:rPr>
                <w:spacing w:val="-128"/>
                <w:w w:val="99"/>
                <w:sz w:val="24"/>
              </w:rPr>
              <w:t>）</w:t>
            </w:r>
            <w:r>
              <w:rPr>
                <w:spacing w:val="-8"/>
                <w:w w:val="99"/>
                <w:sz w:val="24"/>
              </w:rPr>
              <w:t>：</w:t>
            </w:r>
          </w:p>
          <w:p w14:paraId="0809DA72">
            <w:pPr>
              <w:pStyle w:val="18"/>
              <w:spacing w:line="360" w:lineRule="exact"/>
              <w:ind w:left="108" w:right="6467"/>
              <w:jc w:val="both"/>
              <w:rPr>
                <w:spacing w:val="-8"/>
                <w:w w:val="99"/>
                <w:sz w:val="21"/>
                <w:szCs w:val="21"/>
              </w:rPr>
            </w:pPr>
          </w:p>
          <w:p w14:paraId="75E56900">
            <w:pPr>
              <w:pStyle w:val="18"/>
              <w:spacing w:line="360" w:lineRule="exact"/>
              <w:ind w:left="108" w:right="6467"/>
              <w:jc w:val="both"/>
              <w:rPr>
                <w:sz w:val="24"/>
              </w:rPr>
            </w:pPr>
            <w:r>
              <w:rPr>
                <w:sz w:val="24"/>
              </w:rPr>
              <w:t>项目负责人：</w:t>
            </w:r>
          </w:p>
          <w:p w14:paraId="7DA4FD27">
            <w:pPr>
              <w:pStyle w:val="18"/>
              <w:spacing w:line="360" w:lineRule="exact"/>
              <w:ind w:left="108" w:right="6467"/>
              <w:jc w:val="both"/>
              <w:rPr>
                <w:spacing w:val="-8"/>
                <w:w w:val="99"/>
                <w:sz w:val="21"/>
                <w:szCs w:val="21"/>
              </w:rPr>
            </w:pPr>
          </w:p>
          <w:p w14:paraId="79EB8155">
            <w:pPr>
              <w:pStyle w:val="18"/>
              <w:spacing w:line="360" w:lineRule="exact"/>
              <w:ind w:left="108"/>
              <w:jc w:val="both"/>
              <w:rPr>
                <w:spacing w:val="-8"/>
                <w:w w:val="99"/>
                <w:sz w:val="21"/>
                <w:szCs w:val="21"/>
              </w:rPr>
            </w:pPr>
            <w:r>
              <w:rPr>
                <w:w w:val="95"/>
                <w:sz w:val="24"/>
              </w:rPr>
              <w:t>项目执行期：</w:t>
            </w:r>
          </w:p>
          <w:p w14:paraId="1816C219">
            <w:pPr>
              <w:pStyle w:val="18"/>
              <w:spacing w:line="360" w:lineRule="exact"/>
              <w:ind w:left="108"/>
              <w:jc w:val="both"/>
              <w:rPr>
                <w:w w:val="95"/>
                <w:sz w:val="24"/>
              </w:rPr>
            </w:pPr>
          </w:p>
        </w:tc>
      </w:tr>
      <w:tr w14:paraId="6FF76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vAlign w:val="center"/>
          </w:tcPr>
          <w:p w14:paraId="47D7E014">
            <w:pPr>
              <w:pStyle w:val="18"/>
              <w:spacing w:line="400" w:lineRule="exact"/>
              <w:ind w:left="218" w:right="210"/>
              <w:jc w:val="center"/>
              <w:rPr>
                <w:b/>
                <w:sz w:val="24"/>
                <w:szCs w:val="24"/>
              </w:rPr>
            </w:pPr>
            <w:r>
              <w:rPr>
                <w:b/>
                <w:sz w:val="24"/>
                <w:szCs w:val="24"/>
              </w:rPr>
              <w:t>序号</w:t>
            </w:r>
          </w:p>
        </w:tc>
        <w:tc>
          <w:tcPr>
            <w:tcW w:w="4279" w:type="dxa"/>
            <w:vAlign w:val="center"/>
          </w:tcPr>
          <w:p w14:paraId="2A7D9AAC">
            <w:pPr>
              <w:pStyle w:val="18"/>
              <w:spacing w:line="400" w:lineRule="exact"/>
              <w:ind w:left="141"/>
              <w:jc w:val="center"/>
              <w:rPr>
                <w:b/>
                <w:sz w:val="24"/>
                <w:szCs w:val="24"/>
              </w:rPr>
            </w:pPr>
            <w:r>
              <w:rPr>
                <w:b/>
                <w:sz w:val="24"/>
                <w:szCs w:val="24"/>
              </w:rPr>
              <w:t>预算科目名称（以合同任务书为准）</w:t>
            </w:r>
          </w:p>
        </w:tc>
        <w:tc>
          <w:tcPr>
            <w:tcW w:w="1758" w:type="dxa"/>
            <w:vAlign w:val="center"/>
          </w:tcPr>
          <w:p w14:paraId="588F7624">
            <w:pPr>
              <w:pStyle w:val="18"/>
              <w:spacing w:line="400" w:lineRule="exact"/>
              <w:ind w:left="126" w:right="115"/>
              <w:jc w:val="center"/>
              <w:rPr>
                <w:b/>
                <w:sz w:val="24"/>
                <w:szCs w:val="24"/>
              </w:rPr>
            </w:pPr>
            <w:r>
              <w:rPr>
                <w:b/>
                <w:sz w:val="24"/>
                <w:szCs w:val="24"/>
              </w:rPr>
              <w:t>合同任务书预算经费(万元)</w:t>
            </w:r>
          </w:p>
        </w:tc>
        <w:tc>
          <w:tcPr>
            <w:tcW w:w="1320" w:type="dxa"/>
            <w:vAlign w:val="center"/>
          </w:tcPr>
          <w:p w14:paraId="2B7B13D8">
            <w:pPr>
              <w:pStyle w:val="18"/>
              <w:spacing w:line="400" w:lineRule="exact"/>
              <w:ind w:left="155"/>
              <w:jc w:val="center"/>
              <w:rPr>
                <w:b/>
                <w:sz w:val="24"/>
                <w:szCs w:val="24"/>
              </w:rPr>
            </w:pPr>
            <w:r>
              <w:rPr>
                <w:b/>
                <w:sz w:val="24"/>
                <w:szCs w:val="24"/>
              </w:rPr>
              <w:t>调整金额</w:t>
            </w:r>
          </w:p>
          <w:p w14:paraId="25E26068">
            <w:pPr>
              <w:pStyle w:val="18"/>
              <w:spacing w:line="400" w:lineRule="exact"/>
              <w:ind w:left="155"/>
              <w:jc w:val="center"/>
              <w:rPr>
                <w:b/>
                <w:sz w:val="24"/>
                <w:szCs w:val="24"/>
              </w:rPr>
            </w:pPr>
            <w:r>
              <w:rPr>
                <w:b/>
                <w:sz w:val="24"/>
                <w:szCs w:val="24"/>
              </w:rPr>
              <w:t>（万元）</w:t>
            </w:r>
          </w:p>
        </w:tc>
        <w:tc>
          <w:tcPr>
            <w:tcW w:w="1319" w:type="dxa"/>
            <w:gridSpan w:val="2"/>
            <w:vAlign w:val="center"/>
          </w:tcPr>
          <w:p w14:paraId="113E7EDB">
            <w:pPr>
              <w:pStyle w:val="18"/>
              <w:spacing w:line="400" w:lineRule="exact"/>
              <w:ind w:left="274" w:right="143" w:hanging="120"/>
              <w:jc w:val="center"/>
              <w:rPr>
                <w:b/>
                <w:sz w:val="24"/>
                <w:szCs w:val="24"/>
              </w:rPr>
            </w:pPr>
            <w:r>
              <w:rPr>
                <w:b/>
                <w:sz w:val="24"/>
                <w:szCs w:val="24"/>
              </w:rPr>
              <w:t>调整后预算经费</w:t>
            </w:r>
          </w:p>
          <w:p w14:paraId="5AE91447">
            <w:pPr>
              <w:pStyle w:val="18"/>
              <w:spacing w:line="400" w:lineRule="exact"/>
              <w:ind w:left="154"/>
              <w:jc w:val="center"/>
              <w:rPr>
                <w:b/>
                <w:sz w:val="24"/>
                <w:szCs w:val="24"/>
              </w:rPr>
            </w:pPr>
            <w:r>
              <w:rPr>
                <w:b/>
                <w:sz w:val="24"/>
                <w:szCs w:val="24"/>
              </w:rPr>
              <w:t>（万元）</w:t>
            </w:r>
          </w:p>
        </w:tc>
      </w:tr>
      <w:tr w14:paraId="5128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25A3BA66">
            <w:pPr>
              <w:pStyle w:val="18"/>
              <w:spacing w:before="86"/>
              <w:ind w:left="10"/>
              <w:jc w:val="center"/>
              <w:rPr>
                <w:rFonts w:ascii="Times New Roman" w:hAnsi="Times New Roman" w:cs="Times New Roman"/>
                <w:sz w:val="28"/>
              </w:rPr>
            </w:pPr>
            <w:r>
              <w:rPr>
                <w:rFonts w:ascii="Times New Roman" w:hAnsi="Times New Roman" w:cs="Times New Roman"/>
                <w:sz w:val="28"/>
              </w:rPr>
              <w:t>1</w:t>
            </w:r>
          </w:p>
        </w:tc>
        <w:tc>
          <w:tcPr>
            <w:tcW w:w="4279" w:type="dxa"/>
          </w:tcPr>
          <w:p w14:paraId="5AACB689">
            <w:pPr>
              <w:pStyle w:val="18"/>
              <w:spacing w:before="107"/>
              <w:ind w:left="107"/>
              <w:rPr>
                <w:sz w:val="24"/>
              </w:rPr>
            </w:pPr>
            <w:r>
              <w:rPr>
                <w:sz w:val="24"/>
              </w:rPr>
              <w:t>经费支出预算合计</w:t>
            </w:r>
          </w:p>
        </w:tc>
        <w:tc>
          <w:tcPr>
            <w:tcW w:w="1758" w:type="dxa"/>
          </w:tcPr>
          <w:p w14:paraId="64DEB723">
            <w:pPr>
              <w:pStyle w:val="18"/>
              <w:rPr>
                <w:rFonts w:ascii="Times New Roman"/>
                <w:sz w:val="26"/>
              </w:rPr>
            </w:pPr>
          </w:p>
        </w:tc>
        <w:tc>
          <w:tcPr>
            <w:tcW w:w="1320" w:type="dxa"/>
          </w:tcPr>
          <w:p w14:paraId="36CC3AEC">
            <w:pPr>
              <w:pStyle w:val="18"/>
              <w:rPr>
                <w:rFonts w:ascii="Times New Roman"/>
                <w:sz w:val="26"/>
              </w:rPr>
            </w:pPr>
          </w:p>
        </w:tc>
        <w:tc>
          <w:tcPr>
            <w:tcW w:w="1319" w:type="dxa"/>
            <w:gridSpan w:val="2"/>
          </w:tcPr>
          <w:p w14:paraId="31DEEF7E">
            <w:pPr>
              <w:pStyle w:val="18"/>
              <w:rPr>
                <w:rFonts w:ascii="Times New Roman"/>
                <w:sz w:val="26"/>
              </w:rPr>
            </w:pPr>
          </w:p>
        </w:tc>
      </w:tr>
      <w:tr w14:paraId="2391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Borders>
              <w:bottom w:val="single" w:color="000000" w:sz="6" w:space="0"/>
            </w:tcBorders>
          </w:tcPr>
          <w:p w14:paraId="228D9505">
            <w:pPr>
              <w:pStyle w:val="18"/>
              <w:spacing w:before="84"/>
              <w:ind w:left="10"/>
              <w:jc w:val="center"/>
              <w:rPr>
                <w:rFonts w:ascii="Times New Roman" w:hAnsi="Times New Roman" w:cs="Times New Roman"/>
                <w:sz w:val="28"/>
              </w:rPr>
            </w:pPr>
            <w:r>
              <w:rPr>
                <w:rFonts w:ascii="Times New Roman" w:hAnsi="Times New Roman" w:cs="Times New Roman"/>
                <w:sz w:val="28"/>
              </w:rPr>
              <w:t>2</w:t>
            </w:r>
          </w:p>
        </w:tc>
        <w:tc>
          <w:tcPr>
            <w:tcW w:w="4279" w:type="dxa"/>
            <w:tcBorders>
              <w:bottom w:val="single" w:color="000000" w:sz="6" w:space="0"/>
            </w:tcBorders>
          </w:tcPr>
          <w:p w14:paraId="50631C68">
            <w:pPr>
              <w:pStyle w:val="18"/>
              <w:spacing w:before="105"/>
              <w:ind w:left="107"/>
              <w:rPr>
                <w:sz w:val="24"/>
              </w:rPr>
            </w:pPr>
            <w:r>
              <w:rPr>
                <w:sz w:val="24"/>
              </w:rPr>
              <w:t>（一）直接费用</w:t>
            </w:r>
          </w:p>
        </w:tc>
        <w:tc>
          <w:tcPr>
            <w:tcW w:w="1758" w:type="dxa"/>
            <w:tcBorders>
              <w:bottom w:val="single" w:color="000000" w:sz="6" w:space="0"/>
            </w:tcBorders>
          </w:tcPr>
          <w:p w14:paraId="3569DB1B">
            <w:pPr>
              <w:pStyle w:val="18"/>
              <w:rPr>
                <w:rFonts w:ascii="Times New Roman"/>
                <w:sz w:val="26"/>
              </w:rPr>
            </w:pPr>
          </w:p>
        </w:tc>
        <w:tc>
          <w:tcPr>
            <w:tcW w:w="1320" w:type="dxa"/>
            <w:tcBorders>
              <w:bottom w:val="single" w:color="000000" w:sz="6" w:space="0"/>
            </w:tcBorders>
          </w:tcPr>
          <w:p w14:paraId="2C034ACC">
            <w:pPr>
              <w:pStyle w:val="18"/>
              <w:rPr>
                <w:rFonts w:ascii="Times New Roman"/>
                <w:sz w:val="26"/>
              </w:rPr>
            </w:pPr>
          </w:p>
        </w:tc>
        <w:tc>
          <w:tcPr>
            <w:tcW w:w="1319" w:type="dxa"/>
            <w:gridSpan w:val="2"/>
            <w:tcBorders>
              <w:bottom w:val="single" w:color="000000" w:sz="6" w:space="0"/>
            </w:tcBorders>
          </w:tcPr>
          <w:p w14:paraId="03E2CAA3">
            <w:pPr>
              <w:pStyle w:val="18"/>
              <w:rPr>
                <w:rFonts w:ascii="Times New Roman"/>
                <w:sz w:val="26"/>
              </w:rPr>
            </w:pPr>
          </w:p>
        </w:tc>
      </w:tr>
      <w:tr w14:paraId="14A94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Borders>
              <w:top w:val="single" w:color="000000" w:sz="6" w:space="0"/>
            </w:tcBorders>
          </w:tcPr>
          <w:p w14:paraId="1D3822A7">
            <w:pPr>
              <w:pStyle w:val="18"/>
              <w:spacing w:before="81"/>
              <w:ind w:left="10"/>
              <w:jc w:val="center"/>
              <w:rPr>
                <w:rFonts w:ascii="Times New Roman" w:hAnsi="Times New Roman" w:cs="Times New Roman"/>
                <w:sz w:val="28"/>
              </w:rPr>
            </w:pPr>
            <w:r>
              <w:rPr>
                <w:rFonts w:ascii="Times New Roman" w:hAnsi="Times New Roman" w:cs="Times New Roman"/>
                <w:sz w:val="28"/>
              </w:rPr>
              <w:t>3</w:t>
            </w:r>
          </w:p>
        </w:tc>
        <w:tc>
          <w:tcPr>
            <w:tcW w:w="4279" w:type="dxa"/>
            <w:tcBorders>
              <w:top w:val="single" w:color="000000" w:sz="6" w:space="0"/>
            </w:tcBorders>
          </w:tcPr>
          <w:p w14:paraId="1AA88B8E">
            <w:pPr>
              <w:pStyle w:val="18"/>
              <w:spacing w:before="103"/>
              <w:ind w:left="347"/>
              <w:rPr>
                <w:sz w:val="24"/>
              </w:rPr>
            </w:pPr>
            <w:r>
              <w:rPr>
                <w:rFonts w:ascii="Times New Roman" w:hAnsi="Times New Roman" w:eastAsia="Times New Roman" w:cs="Times New Roman"/>
                <w:sz w:val="24"/>
              </w:rPr>
              <w:t>1</w:t>
            </w:r>
            <w:r>
              <w:rPr>
                <w:sz w:val="24"/>
              </w:rPr>
              <w:t>. 设备费</w:t>
            </w:r>
          </w:p>
        </w:tc>
        <w:tc>
          <w:tcPr>
            <w:tcW w:w="1758" w:type="dxa"/>
            <w:tcBorders>
              <w:top w:val="single" w:color="000000" w:sz="6" w:space="0"/>
            </w:tcBorders>
          </w:tcPr>
          <w:p w14:paraId="1DF8E9BD">
            <w:pPr>
              <w:pStyle w:val="18"/>
              <w:rPr>
                <w:rFonts w:ascii="Times New Roman"/>
                <w:sz w:val="26"/>
              </w:rPr>
            </w:pPr>
          </w:p>
        </w:tc>
        <w:tc>
          <w:tcPr>
            <w:tcW w:w="1320" w:type="dxa"/>
            <w:tcBorders>
              <w:top w:val="single" w:color="000000" w:sz="6" w:space="0"/>
            </w:tcBorders>
          </w:tcPr>
          <w:p w14:paraId="3A1229D2">
            <w:pPr>
              <w:pStyle w:val="18"/>
              <w:rPr>
                <w:rFonts w:ascii="Times New Roman"/>
                <w:sz w:val="26"/>
              </w:rPr>
            </w:pPr>
          </w:p>
        </w:tc>
        <w:tc>
          <w:tcPr>
            <w:tcW w:w="1319" w:type="dxa"/>
            <w:gridSpan w:val="2"/>
            <w:tcBorders>
              <w:top w:val="single" w:color="000000" w:sz="6" w:space="0"/>
            </w:tcBorders>
          </w:tcPr>
          <w:p w14:paraId="7BFD866B">
            <w:pPr>
              <w:pStyle w:val="18"/>
              <w:rPr>
                <w:rFonts w:ascii="Times New Roman"/>
                <w:sz w:val="26"/>
              </w:rPr>
            </w:pPr>
          </w:p>
        </w:tc>
      </w:tr>
      <w:tr w14:paraId="54593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2E989851">
            <w:pPr>
              <w:pStyle w:val="18"/>
              <w:spacing w:before="86"/>
              <w:ind w:left="10"/>
              <w:jc w:val="center"/>
              <w:rPr>
                <w:rFonts w:ascii="Times New Roman" w:hAnsi="Times New Roman" w:cs="Times New Roman"/>
                <w:sz w:val="28"/>
              </w:rPr>
            </w:pPr>
            <w:r>
              <w:rPr>
                <w:rFonts w:ascii="Times New Roman" w:hAnsi="Times New Roman" w:cs="Times New Roman"/>
                <w:sz w:val="28"/>
                <w:lang w:val="en-US"/>
              </w:rPr>
              <w:t>4</w:t>
            </w:r>
          </w:p>
        </w:tc>
        <w:tc>
          <w:tcPr>
            <w:tcW w:w="4279" w:type="dxa"/>
          </w:tcPr>
          <w:p w14:paraId="09C5363F">
            <w:pPr>
              <w:pStyle w:val="18"/>
              <w:spacing w:before="107"/>
              <w:ind w:left="347"/>
              <w:rPr>
                <w:sz w:val="24"/>
                <w:lang w:val="en-US"/>
              </w:rPr>
            </w:pPr>
            <w:r>
              <w:rPr>
                <w:rFonts w:ascii="Times New Roman" w:hAnsi="Times New Roman" w:eastAsia="Times New Roman" w:cs="Times New Roman"/>
                <w:sz w:val="24"/>
              </w:rPr>
              <w:t>2</w:t>
            </w:r>
            <w:r>
              <w:rPr>
                <w:sz w:val="24"/>
              </w:rPr>
              <w:t xml:space="preserve">. </w:t>
            </w:r>
            <w:r>
              <w:rPr>
                <w:rFonts w:hint="eastAsia"/>
                <w:sz w:val="24"/>
                <w:lang w:val="en-US"/>
              </w:rPr>
              <w:t>业务费</w:t>
            </w:r>
          </w:p>
        </w:tc>
        <w:tc>
          <w:tcPr>
            <w:tcW w:w="1758" w:type="dxa"/>
          </w:tcPr>
          <w:p w14:paraId="2B9D6CC1">
            <w:pPr>
              <w:pStyle w:val="18"/>
              <w:rPr>
                <w:rFonts w:ascii="Times New Roman"/>
                <w:sz w:val="26"/>
              </w:rPr>
            </w:pPr>
          </w:p>
        </w:tc>
        <w:tc>
          <w:tcPr>
            <w:tcW w:w="1320" w:type="dxa"/>
          </w:tcPr>
          <w:p w14:paraId="74A37501">
            <w:pPr>
              <w:pStyle w:val="18"/>
              <w:rPr>
                <w:rFonts w:ascii="Times New Roman"/>
                <w:sz w:val="26"/>
              </w:rPr>
            </w:pPr>
          </w:p>
        </w:tc>
        <w:tc>
          <w:tcPr>
            <w:tcW w:w="1319" w:type="dxa"/>
            <w:gridSpan w:val="2"/>
          </w:tcPr>
          <w:p w14:paraId="39C0482D">
            <w:pPr>
              <w:pStyle w:val="18"/>
              <w:rPr>
                <w:rFonts w:ascii="Times New Roman"/>
                <w:sz w:val="26"/>
              </w:rPr>
            </w:pPr>
          </w:p>
        </w:tc>
      </w:tr>
      <w:tr w14:paraId="7596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15E2CFB2">
            <w:pPr>
              <w:pStyle w:val="18"/>
              <w:spacing w:before="84"/>
              <w:ind w:left="10"/>
              <w:jc w:val="center"/>
              <w:rPr>
                <w:rFonts w:ascii="Times New Roman" w:hAnsi="Times New Roman" w:cs="Times New Roman"/>
                <w:sz w:val="28"/>
              </w:rPr>
            </w:pPr>
            <w:r>
              <w:rPr>
                <w:rFonts w:ascii="Times New Roman" w:hAnsi="Times New Roman" w:cs="Times New Roman"/>
                <w:sz w:val="28"/>
                <w:lang w:val="en-US"/>
              </w:rPr>
              <w:t>5</w:t>
            </w:r>
          </w:p>
        </w:tc>
        <w:tc>
          <w:tcPr>
            <w:tcW w:w="4279" w:type="dxa"/>
          </w:tcPr>
          <w:p w14:paraId="32D4A1F9">
            <w:pPr>
              <w:pStyle w:val="18"/>
              <w:spacing w:before="105"/>
              <w:ind w:left="347"/>
              <w:rPr>
                <w:sz w:val="24"/>
              </w:rPr>
            </w:pPr>
            <w:r>
              <w:rPr>
                <w:rFonts w:ascii="Times New Roman" w:hAnsi="Times New Roman" w:eastAsia="Times New Roman" w:cs="Times New Roman"/>
                <w:sz w:val="24"/>
              </w:rPr>
              <w:t>3</w:t>
            </w:r>
            <w:r>
              <w:rPr>
                <w:sz w:val="24"/>
              </w:rPr>
              <w:t xml:space="preserve">. </w:t>
            </w:r>
            <w:r>
              <w:rPr>
                <w:rFonts w:hint="eastAsia"/>
                <w:sz w:val="24"/>
                <w:lang w:val="en-US"/>
              </w:rPr>
              <w:t>劳务费</w:t>
            </w:r>
          </w:p>
        </w:tc>
        <w:tc>
          <w:tcPr>
            <w:tcW w:w="1758" w:type="dxa"/>
          </w:tcPr>
          <w:p w14:paraId="4EE23B0F">
            <w:pPr>
              <w:pStyle w:val="18"/>
              <w:rPr>
                <w:rFonts w:ascii="Times New Roman"/>
                <w:sz w:val="26"/>
              </w:rPr>
            </w:pPr>
          </w:p>
        </w:tc>
        <w:tc>
          <w:tcPr>
            <w:tcW w:w="1320" w:type="dxa"/>
          </w:tcPr>
          <w:p w14:paraId="24F308AA">
            <w:pPr>
              <w:pStyle w:val="18"/>
              <w:rPr>
                <w:rFonts w:ascii="Times New Roman"/>
                <w:sz w:val="26"/>
              </w:rPr>
            </w:pPr>
          </w:p>
        </w:tc>
        <w:tc>
          <w:tcPr>
            <w:tcW w:w="1319" w:type="dxa"/>
            <w:gridSpan w:val="2"/>
          </w:tcPr>
          <w:p w14:paraId="6BB1B3F3">
            <w:pPr>
              <w:pStyle w:val="18"/>
              <w:rPr>
                <w:rFonts w:ascii="Times New Roman"/>
                <w:sz w:val="26"/>
              </w:rPr>
            </w:pPr>
          </w:p>
        </w:tc>
      </w:tr>
      <w:tr w14:paraId="3184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45D0EC82">
            <w:pPr>
              <w:pStyle w:val="18"/>
              <w:spacing w:before="57"/>
              <w:ind w:left="10"/>
              <w:jc w:val="center"/>
              <w:rPr>
                <w:rFonts w:ascii="Times New Roman" w:hAnsi="Times New Roman" w:cs="Times New Roman"/>
                <w:sz w:val="28"/>
              </w:rPr>
            </w:pPr>
            <w:r>
              <w:rPr>
                <w:rFonts w:ascii="Times New Roman" w:hAnsi="Times New Roman" w:cs="Times New Roman"/>
                <w:sz w:val="28"/>
                <w:lang w:val="en-US"/>
              </w:rPr>
              <w:t>6</w:t>
            </w:r>
          </w:p>
        </w:tc>
        <w:tc>
          <w:tcPr>
            <w:tcW w:w="4279" w:type="dxa"/>
          </w:tcPr>
          <w:p w14:paraId="1706C6C8">
            <w:pPr>
              <w:pStyle w:val="18"/>
              <w:spacing w:before="79" w:line="301" w:lineRule="exact"/>
              <w:ind w:left="107"/>
              <w:rPr>
                <w:sz w:val="24"/>
              </w:rPr>
            </w:pPr>
            <w:r>
              <w:rPr>
                <w:sz w:val="24"/>
              </w:rPr>
              <w:t>（二）</w:t>
            </w:r>
            <w:r>
              <w:rPr>
                <w:rFonts w:hint="eastAsia"/>
                <w:sz w:val="24"/>
              </w:rPr>
              <w:t>间接经费</w:t>
            </w:r>
          </w:p>
        </w:tc>
        <w:tc>
          <w:tcPr>
            <w:tcW w:w="1758" w:type="dxa"/>
          </w:tcPr>
          <w:p w14:paraId="1728C72D">
            <w:pPr>
              <w:pStyle w:val="18"/>
              <w:rPr>
                <w:rFonts w:ascii="Times New Roman"/>
                <w:sz w:val="26"/>
              </w:rPr>
            </w:pPr>
          </w:p>
        </w:tc>
        <w:tc>
          <w:tcPr>
            <w:tcW w:w="1320" w:type="dxa"/>
          </w:tcPr>
          <w:p w14:paraId="52D535A0">
            <w:pPr>
              <w:pStyle w:val="18"/>
              <w:rPr>
                <w:rFonts w:ascii="Times New Roman"/>
                <w:sz w:val="26"/>
              </w:rPr>
            </w:pPr>
          </w:p>
        </w:tc>
        <w:tc>
          <w:tcPr>
            <w:tcW w:w="1319" w:type="dxa"/>
            <w:gridSpan w:val="2"/>
          </w:tcPr>
          <w:p w14:paraId="2CDD742E">
            <w:pPr>
              <w:pStyle w:val="18"/>
              <w:rPr>
                <w:rFonts w:ascii="Times New Roman"/>
                <w:sz w:val="26"/>
              </w:rPr>
            </w:pPr>
          </w:p>
        </w:tc>
      </w:tr>
      <w:tr w14:paraId="6FCC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1DB04629">
            <w:pPr>
              <w:pStyle w:val="18"/>
              <w:spacing w:before="58"/>
              <w:ind w:left="195" w:right="186"/>
              <w:jc w:val="center"/>
              <w:rPr>
                <w:rFonts w:ascii="Times New Roman" w:hAnsi="Times New Roman" w:cs="Times New Roman"/>
                <w:sz w:val="28"/>
              </w:rPr>
            </w:pPr>
            <w:r>
              <w:rPr>
                <w:rFonts w:ascii="Times New Roman" w:hAnsi="Times New Roman" w:cs="Times New Roman"/>
                <w:sz w:val="28"/>
                <w:lang w:val="en-US"/>
              </w:rPr>
              <w:t>7</w:t>
            </w:r>
          </w:p>
        </w:tc>
        <w:tc>
          <w:tcPr>
            <w:tcW w:w="4279" w:type="dxa"/>
          </w:tcPr>
          <w:p w14:paraId="2EB77132">
            <w:pPr>
              <w:pStyle w:val="18"/>
              <w:spacing w:before="79" w:line="301" w:lineRule="exact"/>
              <w:ind w:left="347"/>
              <w:rPr>
                <w:sz w:val="24"/>
              </w:rPr>
            </w:pPr>
            <w:r>
              <w:rPr>
                <w:rFonts w:ascii="Times New Roman" w:hAnsi="Times New Roman" w:eastAsia="Times New Roman" w:cs="Times New Roman"/>
                <w:sz w:val="24"/>
              </w:rPr>
              <w:t>1</w:t>
            </w:r>
            <w:r>
              <w:rPr>
                <w:sz w:val="24"/>
              </w:rPr>
              <w:t>. 管理费</w:t>
            </w:r>
          </w:p>
        </w:tc>
        <w:tc>
          <w:tcPr>
            <w:tcW w:w="1758" w:type="dxa"/>
          </w:tcPr>
          <w:p w14:paraId="3904BF1F">
            <w:pPr>
              <w:pStyle w:val="18"/>
              <w:rPr>
                <w:rFonts w:ascii="Times New Roman"/>
                <w:sz w:val="26"/>
              </w:rPr>
            </w:pPr>
          </w:p>
        </w:tc>
        <w:tc>
          <w:tcPr>
            <w:tcW w:w="1320" w:type="dxa"/>
          </w:tcPr>
          <w:p w14:paraId="46178343">
            <w:pPr>
              <w:pStyle w:val="18"/>
              <w:rPr>
                <w:rFonts w:ascii="Times New Roman"/>
                <w:sz w:val="26"/>
              </w:rPr>
            </w:pPr>
          </w:p>
        </w:tc>
        <w:tc>
          <w:tcPr>
            <w:tcW w:w="1319" w:type="dxa"/>
            <w:gridSpan w:val="2"/>
          </w:tcPr>
          <w:p w14:paraId="65200420">
            <w:pPr>
              <w:pStyle w:val="18"/>
              <w:rPr>
                <w:rFonts w:ascii="Times New Roman"/>
                <w:sz w:val="26"/>
              </w:rPr>
            </w:pPr>
          </w:p>
        </w:tc>
      </w:tr>
      <w:tr w14:paraId="2A292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14D01584">
            <w:pPr>
              <w:pStyle w:val="18"/>
              <w:spacing w:before="57" w:line="320" w:lineRule="exact"/>
              <w:ind w:left="190" w:right="190"/>
              <w:jc w:val="center"/>
              <w:rPr>
                <w:rFonts w:ascii="Times New Roman" w:hAnsi="Times New Roman" w:cs="Times New Roman"/>
                <w:sz w:val="28"/>
              </w:rPr>
            </w:pPr>
            <w:r>
              <w:rPr>
                <w:rFonts w:ascii="Times New Roman" w:hAnsi="Times New Roman" w:cs="Times New Roman"/>
                <w:sz w:val="28"/>
                <w:lang w:val="en-US"/>
              </w:rPr>
              <w:t>8</w:t>
            </w:r>
          </w:p>
        </w:tc>
        <w:tc>
          <w:tcPr>
            <w:tcW w:w="4279" w:type="dxa"/>
          </w:tcPr>
          <w:p w14:paraId="143A23E9">
            <w:pPr>
              <w:pStyle w:val="18"/>
              <w:spacing w:before="79" w:line="301" w:lineRule="exact"/>
              <w:ind w:left="347"/>
              <w:rPr>
                <w:sz w:val="24"/>
              </w:rPr>
            </w:pPr>
            <w:r>
              <w:rPr>
                <w:rFonts w:ascii="Times New Roman" w:hAnsi="Times New Roman" w:eastAsia="Times New Roman" w:cs="Times New Roman"/>
                <w:sz w:val="24"/>
              </w:rPr>
              <w:t>2</w:t>
            </w:r>
            <w:r>
              <w:rPr>
                <w:sz w:val="24"/>
              </w:rPr>
              <w:t>. 绩效支出</w:t>
            </w:r>
          </w:p>
        </w:tc>
        <w:tc>
          <w:tcPr>
            <w:tcW w:w="1758" w:type="dxa"/>
          </w:tcPr>
          <w:p w14:paraId="156E257B">
            <w:pPr>
              <w:pStyle w:val="18"/>
              <w:rPr>
                <w:rFonts w:ascii="Times New Roman"/>
                <w:sz w:val="26"/>
              </w:rPr>
            </w:pPr>
          </w:p>
        </w:tc>
        <w:tc>
          <w:tcPr>
            <w:tcW w:w="1320" w:type="dxa"/>
          </w:tcPr>
          <w:p w14:paraId="3DC18AAC">
            <w:pPr>
              <w:pStyle w:val="18"/>
              <w:rPr>
                <w:rFonts w:ascii="Times New Roman"/>
                <w:sz w:val="26"/>
              </w:rPr>
            </w:pPr>
          </w:p>
        </w:tc>
        <w:tc>
          <w:tcPr>
            <w:tcW w:w="1319" w:type="dxa"/>
            <w:gridSpan w:val="2"/>
          </w:tcPr>
          <w:p w14:paraId="1147229A">
            <w:pPr>
              <w:pStyle w:val="18"/>
              <w:rPr>
                <w:rFonts w:ascii="Times New Roman"/>
                <w:sz w:val="26"/>
              </w:rPr>
            </w:pPr>
          </w:p>
        </w:tc>
      </w:tr>
      <w:tr w14:paraId="097F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gridSpan w:val="2"/>
          </w:tcPr>
          <w:p w14:paraId="7E1411F0">
            <w:pPr>
              <w:pStyle w:val="18"/>
              <w:spacing w:before="60" w:line="320" w:lineRule="exact"/>
              <w:ind w:left="195" w:right="186"/>
              <w:jc w:val="center"/>
              <w:rPr>
                <w:rFonts w:ascii="Times New Roman" w:hAnsi="Times New Roman" w:cs="Times New Roman"/>
                <w:sz w:val="28"/>
              </w:rPr>
            </w:pPr>
            <w:r>
              <w:rPr>
                <w:rFonts w:ascii="Times New Roman" w:hAnsi="Times New Roman" w:cs="Times New Roman"/>
                <w:sz w:val="28"/>
                <w:lang w:val="en-US"/>
              </w:rPr>
              <w:t>9</w:t>
            </w:r>
          </w:p>
        </w:tc>
        <w:tc>
          <w:tcPr>
            <w:tcW w:w="4279" w:type="dxa"/>
          </w:tcPr>
          <w:p w14:paraId="14DC7022">
            <w:pPr>
              <w:pStyle w:val="18"/>
              <w:spacing w:before="79" w:line="299" w:lineRule="exact"/>
              <w:ind w:left="347"/>
              <w:rPr>
                <w:sz w:val="24"/>
              </w:rPr>
            </w:pPr>
            <w:r>
              <w:rPr>
                <w:rFonts w:ascii="Times New Roman" w:hAnsi="Times New Roman" w:eastAsia="Times New Roman" w:cs="Times New Roman"/>
                <w:sz w:val="24"/>
              </w:rPr>
              <w:t>3</w:t>
            </w:r>
            <w:r>
              <w:rPr>
                <w:sz w:val="24"/>
              </w:rPr>
              <w:t>. 其他</w:t>
            </w:r>
          </w:p>
        </w:tc>
        <w:tc>
          <w:tcPr>
            <w:tcW w:w="1758" w:type="dxa"/>
          </w:tcPr>
          <w:p w14:paraId="7FC83C49">
            <w:pPr>
              <w:pStyle w:val="18"/>
              <w:rPr>
                <w:rFonts w:ascii="Times New Roman"/>
                <w:sz w:val="26"/>
              </w:rPr>
            </w:pPr>
          </w:p>
        </w:tc>
        <w:tc>
          <w:tcPr>
            <w:tcW w:w="1320" w:type="dxa"/>
          </w:tcPr>
          <w:p w14:paraId="1D42DED1">
            <w:pPr>
              <w:pStyle w:val="18"/>
              <w:rPr>
                <w:rFonts w:ascii="Times New Roman"/>
                <w:sz w:val="26"/>
              </w:rPr>
            </w:pPr>
          </w:p>
        </w:tc>
        <w:tc>
          <w:tcPr>
            <w:tcW w:w="1319" w:type="dxa"/>
            <w:gridSpan w:val="2"/>
          </w:tcPr>
          <w:p w14:paraId="3B5C3776">
            <w:pPr>
              <w:pStyle w:val="18"/>
              <w:rPr>
                <w:rFonts w:ascii="Times New Roman"/>
                <w:sz w:val="26"/>
              </w:rPr>
            </w:pPr>
          </w:p>
        </w:tc>
      </w:tr>
      <w:tr w14:paraId="21874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jc w:val="center"/>
        </w:trPr>
        <w:tc>
          <w:tcPr>
            <w:tcW w:w="9420" w:type="dxa"/>
            <w:gridSpan w:val="7"/>
          </w:tcPr>
          <w:p w14:paraId="56EC7886">
            <w:pPr>
              <w:pStyle w:val="18"/>
              <w:rPr>
                <w:rFonts w:ascii="Times New Roman"/>
                <w:sz w:val="26"/>
              </w:rPr>
            </w:pPr>
            <w:r>
              <w:rPr>
                <w:spacing w:val="-14"/>
                <w:sz w:val="24"/>
              </w:rPr>
              <w:t>预算调整申请理由：</w:t>
            </w:r>
            <w:r>
              <w:rPr>
                <w:sz w:val="24"/>
              </w:rPr>
              <w:t>（可附页）</w:t>
            </w:r>
          </w:p>
        </w:tc>
      </w:tr>
      <w:tr w14:paraId="323C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07" w:type="dxa"/>
          <w:wAfter w:w="97" w:type="dxa"/>
          <w:trHeight w:val="4101" w:hRule="atLeast"/>
          <w:jc w:val="center"/>
        </w:trPr>
        <w:tc>
          <w:tcPr>
            <w:tcW w:w="9116" w:type="dxa"/>
            <w:gridSpan w:val="5"/>
          </w:tcPr>
          <w:p w14:paraId="612DCD1E">
            <w:pPr>
              <w:pStyle w:val="18"/>
              <w:spacing w:before="2"/>
              <w:ind w:left="107"/>
              <w:rPr>
                <w:color w:val="000000" w:themeColor="text1"/>
                <w:sz w:val="24"/>
                <w:szCs w:val="24"/>
              </w:rPr>
            </w:pPr>
            <w:r>
              <w:rPr>
                <w:color w:val="000000" w:themeColor="text1"/>
                <w:spacing w:val="-14"/>
                <w:sz w:val="24"/>
                <w:szCs w:val="24"/>
              </w:rPr>
              <w:t>预算调整申请理由：</w:t>
            </w:r>
            <w:r>
              <w:rPr>
                <w:color w:val="000000" w:themeColor="text1"/>
                <w:sz w:val="24"/>
                <w:szCs w:val="24"/>
              </w:rPr>
              <w:t>（可附页）</w:t>
            </w:r>
          </w:p>
        </w:tc>
      </w:tr>
      <w:tr w14:paraId="613E2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07" w:type="dxa"/>
          <w:wAfter w:w="97" w:type="dxa"/>
          <w:trHeight w:val="1996" w:hRule="atLeast"/>
          <w:jc w:val="center"/>
        </w:trPr>
        <w:tc>
          <w:tcPr>
            <w:tcW w:w="9116" w:type="dxa"/>
            <w:gridSpan w:val="5"/>
          </w:tcPr>
          <w:p w14:paraId="5D4B5DD0">
            <w:pPr>
              <w:pStyle w:val="18"/>
              <w:spacing w:line="357" w:lineRule="exact"/>
              <w:ind w:left="107"/>
              <w:rPr>
                <w:color w:val="000000" w:themeColor="text1"/>
                <w:sz w:val="24"/>
                <w:szCs w:val="24"/>
              </w:rPr>
            </w:pPr>
            <w:r>
              <w:rPr>
                <w:color w:val="000000" w:themeColor="text1"/>
                <w:sz w:val="24"/>
                <w:szCs w:val="24"/>
              </w:rPr>
              <w:t>项目负责人承诺以上所填数据真实无误。</w:t>
            </w:r>
          </w:p>
          <w:p w14:paraId="20AD7C85">
            <w:pPr>
              <w:pStyle w:val="18"/>
              <w:rPr>
                <w:rFonts w:ascii="Times New Roman"/>
                <w:color w:val="000000" w:themeColor="text1"/>
                <w:sz w:val="24"/>
                <w:szCs w:val="24"/>
              </w:rPr>
            </w:pPr>
          </w:p>
          <w:p w14:paraId="4A17455F">
            <w:pPr>
              <w:pStyle w:val="18"/>
              <w:spacing w:before="6"/>
              <w:rPr>
                <w:rFonts w:ascii="Times New Roman"/>
                <w:color w:val="000000" w:themeColor="text1"/>
                <w:sz w:val="24"/>
                <w:szCs w:val="24"/>
              </w:rPr>
            </w:pPr>
          </w:p>
          <w:p w14:paraId="748F0754">
            <w:pPr>
              <w:pStyle w:val="18"/>
              <w:spacing w:before="6"/>
              <w:rPr>
                <w:rFonts w:ascii="Times New Roman"/>
                <w:color w:val="000000" w:themeColor="text1"/>
                <w:sz w:val="24"/>
                <w:szCs w:val="24"/>
              </w:rPr>
            </w:pPr>
          </w:p>
          <w:p w14:paraId="362F22A4">
            <w:pPr>
              <w:pStyle w:val="18"/>
              <w:tabs>
                <w:tab w:val="left" w:pos="4589"/>
              </w:tabs>
              <w:ind w:left="107"/>
              <w:rPr>
                <w:color w:val="000000" w:themeColor="text1"/>
                <w:sz w:val="24"/>
                <w:szCs w:val="24"/>
              </w:rPr>
            </w:pPr>
            <w:r>
              <w:rPr>
                <w:color w:val="000000" w:themeColor="text1"/>
                <w:sz w:val="24"/>
                <w:szCs w:val="24"/>
              </w:rPr>
              <w:t>项目负</w:t>
            </w:r>
            <w:r>
              <w:rPr>
                <w:color w:val="000000" w:themeColor="text1"/>
                <w:spacing w:val="-3"/>
                <w:sz w:val="24"/>
                <w:szCs w:val="24"/>
              </w:rPr>
              <w:t>责</w:t>
            </w:r>
            <w:r>
              <w:rPr>
                <w:color w:val="000000" w:themeColor="text1"/>
                <w:sz w:val="24"/>
                <w:szCs w:val="24"/>
              </w:rPr>
              <w:t>人：</w:t>
            </w:r>
            <w:r>
              <w:rPr>
                <w:color w:val="000000" w:themeColor="text1"/>
                <w:sz w:val="24"/>
                <w:szCs w:val="24"/>
              </w:rPr>
              <w:tab/>
            </w:r>
            <w:r>
              <w:rPr>
                <w:color w:val="000000" w:themeColor="text1"/>
                <w:sz w:val="24"/>
                <w:szCs w:val="24"/>
              </w:rPr>
              <w:t>学院（部</w:t>
            </w:r>
            <w:r>
              <w:rPr>
                <w:color w:val="000000" w:themeColor="text1"/>
                <w:spacing w:val="-3"/>
                <w:sz w:val="24"/>
                <w:szCs w:val="24"/>
              </w:rPr>
              <w:t>）</w:t>
            </w:r>
            <w:r>
              <w:rPr>
                <w:color w:val="000000" w:themeColor="text1"/>
                <w:sz w:val="24"/>
                <w:szCs w:val="24"/>
              </w:rPr>
              <w:t>公章：</w:t>
            </w:r>
          </w:p>
          <w:p w14:paraId="3B8F73FD">
            <w:pPr>
              <w:pStyle w:val="18"/>
              <w:tabs>
                <w:tab w:val="left" w:pos="770"/>
                <w:tab w:val="left" w:pos="1333"/>
                <w:tab w:val="left" w:pos="5394"/>
                <w:tab w:val="left" w:pos="5954"/>
                <w:tab w:val="left" w:pos="6513"/>
              </w:tabs>
              <w:spacing w:before="189" w:line="341" w:lineRule="exact"/>
              <w:ind w:left="211"/>
              <w:jc w:val="center"/>
              <w:rPr>
                <w:color w:val="000000" w:themeColor="text1"/>
                <w:sz w:val="24"/>
                <w:szCs w:val="24"/>
              </w:rPr>
            </w:pP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r>
              <w:rPr>
                <w:color w:val="000000" w:themeColor="text1"/>
                <w:sz w:val="24"/>
                <w:szCs w:val="24"/>
              </w:rPr>
              <w:tab/>
            </w: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p>
        </w:tc>
      </w:tr>
      <w:tr w14:paraId="0D36B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07" w:type="dxa"/>
          <w:wAfter w:w="97" w:type="dxa"/>
          <w:trHeight w:val="2179" w:hRule="atLeast"/>
          <w:jc w:val="center"/>
        </w:trPr>
        <w:tc>
          <w:tcPr>
            <w:tcW w:w="9116" w:type="dxa"/>
            <w:gridSpan w:val="5"/>
          </w:tcPr>
          <w:p w14:paraId="5DCD8DD9">
            <w:pPr>
              <w:pStyle w:val="18"/>
              <w:spacing w:line="357" w:lineRule="exact"/>
              <w:ind w:left="107"/>
              <w:rPr>
                <w:color w:val="000000" w:themeColor="text1"/>
                <w:sz w:val="24"/>
                <w:szCs w:val="24"/>
              </w:rPr>
            </w:pPr>
            <w:r>
              <w:rPr>
                <w:color w:val="000000" w:themeColor="text1"/>
                <w:sz w:val="24"/>
                <w:szCs w:val="24"/>
              </w:rPr>
              <w:t>科学研究院审核意见：</w:t>
            </w:r>
          </w:p>
          <w:p w14:paraId="27997C1D">
            <w:pPr>
              <w:pStyle w:val="18"/>
              <w:rPr>
                <w:rFonts w:ascii="Times New Roman"/>
                <w:color w:val="000000" w:themeColor="text1"/>
                <w:sz w:val="24"/>
                <w:szCs w:val="24"/>
              </w:rPr>
            </w:pPr>
          </w:p>
          <w:p w14:paraId="4C3A7AFD">
            <w:pPr>
              <w:pStyle w:val="18"/>
              <w:spacing w:before="7"/>
              <w:rPr>
                <w:rFonts w:ascii="Times New Roman"/>
                <w:color w:val="000000" w:themeColor="text1"/>
                <w:sz w:val="24"/>
                <w:szCs w:val="24"/>
              </w:rPr>
            </w:pPr>
          </w:p>
          <w:p w14:paraId="59345F8A">
            <w:pPr>
              <w:pStyle w:val="18"/>
              <w:spacing w:before="7"/>
              <w:rPr>
                <w:rFonts w:ascii="Times New Roman"/>
                <w:color w:val="000000" w:themeColor="text1"/>
                <w:sz w:val="24"/>
                <w:szCs w:val="24"/>
              </w:rPr>
            </w:pPr>
          </w:p>
          <w:p w14:paraId="2CC35D8D">
            <w:pPr>
              <w:pStyle w:val="18"/>
              <w:tabs>
                <w:tab w:val="left" w:pos="4029"/>
              </w:tabs>
              <w:ind w:left="107"/>
              <w:rPr>
                <w:color w:val="000000" w:themeColor="text1"/>
                <w:sz w:val="24"/>
                <w:szCs w:val="24"/>
              </w:rPr>
            </w:pPr>
            <w:r>
              <w:rPr>
                <w:color w:val="000000" w:themeColor="text1"/>
                <w:sz w:val="24"/>
                <w:szCs w:val="24"/>
              </w:rPr>
              <w:t>经办人：</w:t>
            </w:r>
            <w:r>
              <w:rPr>
                <w:color w:val="000000" w:themeColor="text1"/>
                <w:sz w:val="24"/>
                <w:szCs w:val="24"/>
              </w:rPr>
              <w:tab/>
            </w:r>
            <w:r>
              <w:rPr>
                <w:color w:val="000000" w:themeColor="text1"/>
                <w:sz w:val="24"/>
                <w:szCs w:val="24"/>
              </w:rPr>
              <w:t>公章：</w:t>
            </w:r>
          </w:p>
          <w:p w14:paraId="323BB21B">
            <w:pPr>
              <w:pStyle w:val="18"/>
              <w:tabs>
                <w:tab w:val="left" w:pos="1506"/>
                <w:tab w:val="left" w:pos="2068"/>
                <w:tab w:val="left" w:pos="4728"/>
                <w:tab w:val="left" w:pos="5287"/>
                <w:tab w:val="left" w:pos="5849"/>
              </w:tabs>
              <w:spacing w:before="186"/>
              <w:ind w:left="947"/>
              <w:rPr>
                <w:color w:val="000000" w:themeColor="text1"/>
                <w:sz w:val="24"/>
                <w:szCs w:val="24"/>
              </w:rPr>
            </w:pP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r>
              <w:rPr>
                <w:color w:val="000000" w:themeColor="text1"/>
                <w:sz w:val="24"/>
                <w:szCs w:val="24"/>
              </w:rPr>
              <w:tab/>
            </w: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p>
        </w:tc>
      </w:tr>
      <w:tr w14:paraId="7DB6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07" w:type="dxa"/>
          <w:wAfter w:w="97" w:type="dxa"/>
          <w:trHeight w:val="2279" w:hRule="atLeast"/>
          <w:jc w:val="center"/>
        </w:trPr>
        <w:tc>
          <w:tcPr>
            <w:tcW w:w="9116" w:type="dxa"/>
            <w:gridSpan w:val="5"/>
          </w:tcPr>
          <w:p w14:paraId="1C1CD862">
            <w:pPr>
              <w:pStyle w:val="18"/>
              <w:spacing w:line="357" w:lineRule="exact"/>
              <w:ind w:left="107"/>
              <w:rPr>
                <w:color w:val="000000" w:themeColor="text1"/>
                <w:sz w:val="24"/>
                <w:szCs w:val="24"/>
              </w:rPr>
            </w:pPr>
            <w:r>
              <w:rPr>
                <w:color w:val="000000" w:themeColor="text1"/>
                <w:sz w:val="24"/>
                <w:szCs w:val="24"/>
              </w:rPr>
              <w:t>财务处审核意见：</w:t>
            </w:r>
          </w:p>
          <w:p w14:paraId="345581B2">
            <w:pPr>
              <w:pStyle w:val="18"/>
              <w:rPr>
                <w:rFonts w:ascii="Times New Roman"/>
                <w:color w:val="000000" w:themeColor="text1"/>
                <w:sz w:val="24"/>
                <w:szCs w:val="24"/>
              </w:rPr>
            </w:pPr>
          </w:p>
          <w:p w14:paraId="19C55875">
            <w:pPr>
              <w:pStyle w:val="18"/>
              <w:spacing w:before="6"/>
              <w:rPr>
                <w:rFonts w:ascii="Times New Roman"/>
                <w:color w:val="000000" w:themeColor="text1"/>
                <w:sz w:val="24"/>
                <w:szCs w:val="24"/>
              </w:rPr>
            </w:pPr>
          </w:p>
          <w:p w14:paraId="514BC1CB">
            <w:pPr>
              <w:pStyle w:val="18"/>
              <w:spacing w:before="6"/>
              <w:rPr>
                <w:rFonts w:ascii="Times New Roman"/>
                <w:color w:val="000000" w:themeColor="text1"/>
                <w:sz w:val="24"/>
                <w:szCs w:val="24"/>
              </w:rPr>
            </w:pPr>
          </w:p>
          <w:p w14:paraId="2062F781">
            <w:pPr>
              <w:pStyle w:val="18"/>
              <w:tabs>
                <w:tab w:val="left" w:pos="4029"/>
              </w:tabs>
              <w:ind w:left="107"/>
              <w:rPr>
                <w:color w:val="000000" w:themeColor="text1"/>
                <w:sz w:val="24"/>
                <w:szCs w:val="24"/>
              </w:rPr>
            </w:pPr>
            <w:r>
              <w:rPr>
                <w:color w:val="000000" w:themeColor="text1"/>
                <w:sz w:val="24"/>
                <w:szCs w:val="24"/>
              </w:rPr>
              <w:t>经办人：</w:t>
            </w:r>
            <w:r>
              <w:rPr>
                <w:color w:val="000000" w:themeColor="text1"/>
                <w:sz w:val="24"/>
                <w:szCs w:val="24"/>
              </w:rPr>
              <w:tab/>
            </w:r>
            <w:r>
              <w:rPr>
                <w:color w:val="000000" w:themeColor="text1"/>
                <w:sz w:val="24"/>
                <w:szCs w:val="24"/>
              </w:rPr>
              <w:t>公章：</w:t>
            </w:r>
          </w:p>
          <w:p w14:paraId="74C40CAB">
            <w:pPr>
              <w:pStyle w:val="18"/>
              <w:tabs>
                <w:tab w:val="left" w:pos="1506"/>
                <w:tab w:val="left" w:pos="2068"/>
                <w:tab w:val="left" w:pos="4728"/>
                <w:tab w:val="left" w:pos="5287"/>
                <w:tab w:val="left" w:pos="5849"/>
              </w:tabs>
              <w:spacing w:before="186"/>
              <w:ind w:left="947"/>
              <w:rPr>
                <w:color w:val="000000" w:themeColor="text1"/>
                <w:sz w:val="24"/>
                <w:szCs w:val="24"/>
              </w:rPr>
            </w:pP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r>
              <w:rPr>
                <w:color w:val="000000" w:themeColor="text1"/>
                <w:sz w:val="24"/>
                <w:szCs w:val="24"/>
              </w:rPr>
              <w:tab/>
            </w:r>
            <w:r>
              <w:rPr>
                <w:color w:val="000000" w:themeColor="text1"/>
                <w:sz w:val="24"/>
                <w:szCs w:val="24"/>
              </w:rPr>
              <w:t>年</w:t>
            </w:r>
            <w:r>
              <w:rPr>
                <w:color w:val="000000" w:themeColor="text1"/>
                <w:sz w:val="24"/>
                <w:szCs w:val="24"/>
              </w:rPr>
              <w:tab/>
            </w:r>
            <w:r>
              <w:rPr>
                <w:color w:val="000000" w:themeColor="text1"/>
                <w:sz w:val="24"/>
                <w:szCs w:val="24"/>
              </w:rPr>
              <w:t>月</w:t>
            </w:r>
            <w:r>
              <w:rPr>
                <w:color w:val="000000" w:themeColor="text1"/>
                <w:sz w:val="24"/>
                <w:szCs w:val="24"/>
              </w:rPr>
              <w:tab/>
            </w:r>
            <w:r>
              <w:rPr>
                <w:color w:val="000000" w:themeColor="text1"/>
                <w:sz w:val="24"/>
                <w:szCs w:val="24"/>
              </w:rPr>
              <w:t>日</w:t>
            </w:r>
          </w:p>
        </w:tc>
      </w:tr>
    </w:tbl>
    <w:p w14:paraId="0406C50A">
      <w:pPr>
        <w:pStyle w:val="5"/>
        <w:spacing w:line="20" w:lineRule="exact"/>
        <w:rPr>
          <w:sz w:val="2"/>
        </w:rPr>
      </w:pPr>
    </w:p>
    <w:p w14:paraId="65BB4001"/>
    <w:p w14:paraId="3F72DD53"/>
    <w:p w14:paraId="09B10400"/>
    <w:p w14:paraId="58FD336E">
      <w:pPr>
        <w:spacing w:before="240" w:beforeLines="100" w:line="600" w:lineRule="exact"/>
        <w:rPr>
          <w:rFonts w:hAnsi="黑体"/>
          <w:sz w:val="32"/>
        </w:rPr>
      </w:pPr>
      <w:r>
        <w:rPr>
          <w:rFonts w:hint="eastAsia" w:ascii="黑体" w:hAnsi="黑体" w:eastAsia="黑体"/>
          <w:sz w:val="32"/>
        </w:rPr>
        <w:t>公开方式：</w:t>
      </w:r>
      <w:r>
        <w:rPr>
          <w:rFonts w:hint="eastAsia" w:hAnsi="黑体"/>
          <w:sz w:val="32"/>
        </w:rPr>
        <w:t>主动公开</w:t>
      </w:r>
    </w:p>
    <w:p w14:paraId="337A41AA">
      <w:pPr>
        <w:spacing w:line="600" w:lineRule="exact"/>
        <w:ind w:left="1320" w:hanging="1320" w:hangingChars="600"/>
        <w:rPr>
          <w:sz w:val="28"/>
          <w:szCs w:val="28"/>
        </w:rPr>
      </w:pPr>
      <w:r>
        <w:rPr>
          <w:rFonts w:ascii="Calibri" w:hAnsi="Calibri"/>
          <w:lang w:val="en-US" w:bidi="ar-SA"/>
        </w:rPr>
        <w:pict>
          <v:line id="_x0000_s1026" o:spid="_x0000_s1026" o:spt="20" style="position:absolute;left:0pt;margin-left:-1.5pt;margin-top:2.3pt;height:0pt;width:441pt;z-index:251660288;mso-width-relative:page;mso-height-relative:page;" coordsize="21600,21600" o:gfxdata="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Dy&#10;oNQAAAAGAQAADwAAAAAAAAABACAAAAAiAAAAZHJzL2Rvd25yZXYueG1sUEsBAhQAFAAAAAgAh07i&#10;QAr4uMjtAQAA2gMAAA4AAAAAAAAAAQAgAAAAIwEAAGRycy9lMm9Eb2MueG1sUEsFBgAAAAAGAAYA&#10;WQEAAIIFAAAAAA==&#10;">
            <v:path arrowok="t"/>
            <v:fill focussize="0,0"/>
            <v:stroke/>
            <v:imagedata o:title=""/>
            <o:lock v:ext="edit"/>
          </v:line>
        </w:pict>
      </w:r>
      <w:r>
        <w:rPr>
          <w:rFonts w:hint="eastAsia"/>
          <w:sz w:val="28"/>
          <w:szCs w:val="28"/>
        </w:rPr>
        <w:t xml:space="preserve">  华南农业大学党政办公室            </w:t>
      </w:r>
      <w:r>
        <w:rPr>
          <w:sz w:val="28"/>
          <w:szCs w:val="28"/>
        </w:rPr>
        <w:t xml:space="preserve">     </w:t>
      </w:r>
      <w:r>
        <w:rPr>
          <w:rFonts w:hint="eastAsia"/>
          <w:sz w:val="28"/>
          <w:szCs w:val="28"/>
        </w:rPr>
        <w:t xml:space="preserve">  </w:t>
      </w:r>
      <w:r>
        <w:rPr>
          <w:rFonts w:ascii="Times New Roman" w:hAnsi="Times New Roman" w:cs="Times New Roman"/>
          <w:spacing w:val="9"/>
          <w:kern w:val="0"/>
          <w:sz w:val="28"/>
          <w:szCs w:val="28"/>
          <w:fitText w:val="2520" w:id="-747878654"/>
        </w:rPr>
        <w:t>2025</w:t>
      </w:r>
      <w:r>
        <w:rPr>
          <w:rFonts w:hint="eastAsia"/>
          <w:spacing w:val="9"/>
          <w:kern w:val="0"/>
          <w:sz w:val="28"/>
          <w:szCs w:val="28"/>
          <w:fitText w:val="2520" w:id="-747878654"/>
        </w:rPr>
        <w:t>年</w:t>
      </w:r>
      <w:r>
        <w:rPr>
          <w:rFonts w:ascii="Times New Roman" w:hAnsi="Times New Roman" w:cs="Times New Roman"/>
          <w:spacing w:val="9"/>
          <w:kern w:val="0"/>
          <w:sz w:val="28"/>
          <w:szCs w:val="28"/>
          <w:fitText w:val="2520" w:id="-747878654"/>
        </w:rPr>
        <w:t>3</w:t>
      </w:r>
      <w:r>
        <w:rPr>
          <w:rFonts w:hint="eastAsia"/>
          <w:spacing w:val="9"/>
          <w:kern w:val="0"/>
          <w:sz w:val="28"/>
          <w:szCs w:val="28"/>
          <w:fitText w:val="2520" w:id="-747878654"/>
        </w:rPr>
        <w:t>月</w:t>
      </w:r>
      <w:r>
        <w:rPr>
          <w:rFonts w:ascii="Times New Roman" w:hAnsi="Times New Roman" w:cs="Times New Roman"/>
          <w:spacing w:val="9"/>
          <w:kern w:val="0"/>
          <w:sz w:val="28"/>
          <w:szCs w:val="28"/>
          <w:fitText w:val="2520" w:id="-747878654"/>
        </w:rPr>
        <w:t>13</w:t>
      </w:r>
      <w:r>
        <w:rPr>
          <w:rFonts w:hint="eastAsia"/>
          <w:spacing w:val="9"/>
          <w:kern w:val="0"/>
          <w:sz w:val="28"/>
          <w:szCs w:val="28"/>
          <w:fitText w:val="2520" w:id="-747878654"/>
        </w:rPr>
        <w:t>日印</w:t>
      </w:r>
      <w:r>
        <w:rPr>
          <w:rFonts w:hint="eastAsia"/>
          <w:spacing w:val="2"/>
          <w:kern w:val="0"/>
          <w:sz w:val="28"/>
          <w:szCs w:val="28"/>
          <w:fitText w:val="2520" w:id="-747878654"/>
        </w:rPr>
        <w:t>发</w:t>
      </w:r>
      <w:r>
        <w:rPr>
          <w:rFonts w:hint="eastAsia"/>
          <w:sz w:val="28"/>
          <w:szCs w:val="28"/>
        </w:rPr>
        <w:t xml:space="preserve"> </w:t>
      </w:r>
      <w:r>
        <w:rPr>
          <w:sz w:val="28"/>
          <w:szCs w:val="28"/>
        </w:rPr>
        <w:t xml:space="preserve"> </w:t>
      </w:r>
    </w:p>
    <w:p w14:paraId="46B48009">
      <w:pPr>
        <w:spacing w:line="200" w:lineRule="exact"/>
      </w:pPr>
      <w:r>
        <w:rPr>
          <w:rFonts w:ascii="Calibri"/>
          <w:lang w:val="en-US" w:bidi="ar-SA"/>
        </w:rPr>
        <w:pict>
          <v:line id="_x0000_s1027" o:spid="_x0000_s1027" o:spt="20" style="position:absolute;left:0pt;margin-left:0pt;margin-top:3.6pt;height:0pt;width:441pt;z-index:251659264;mso-width-relative:page;mso-height-relative:page;"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3E2ONEA&#10;AAAEAQAADwAAAAAAAAABACAAAAAiAAAAZHJzL2Rvd25yZXYueG1sUEsBAhQAFAAAAAgAh07iQMnW&#10;t9PtAQAA2gMAAA4AAAAAAAAAAQAgAAAAIAEAAGRycy9lMm9Eb2MueG1sUEsFBgAAAAAGAAYAWQEA&#10;AH8FAAAAAA==&#10;">
            <v:path arrowok="t"/>
            <v:fill focussize="0,0"/>
            <v:stroke/>
            <v:imagedata o:title=""/>
            <o:lock v:ext="edit"/>
          </v:line>
        </w:pict>
      </w:r>
    </w:p>
    <w:sectPr>
      <w:footerReference r:id="rId3" w:type="default"/>
      <w:footerReference r:id="rId4" w:type="even"/>
      <w:pgSz w:w="11910" w:h="16840"/>
      <w:pgMar w:top="2098" w:right="1418" w:bottom="1418" w:left="1644" w:header="0" w:footer="111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44C2C0-A99D-4AB1-BEF1-A42CAB608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4E83BC-92A7-458D-8925-67C98C940547}"/>
  </w:font>
  <w:font w:name="仿宋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embedRegular r:id="rId3" w:fontKey="{AD490B02-1B5B-4BB7-AE82-FA8643F0AFE3}"/>
  </w:font>
  <w:font w:name="方正小标宋简体">
    <w:panose1 w:val="02000000000000000000"/>
    <w:charset w:val="86"/>
    <w:family w:val="script"/>
    <w:pitch w:val="default"/>
    <w:sig w:usb0="A00002BF" w:usb1="184F6CFA" w:usb2="00000012" w:usb3="00000000" w:csb0="00040001" w:csb1="00000000"/>
    <w:embedRegular r:id="rId4" w:fontKey="{A78930DF-03EF-4C3F-BBC8-540A35D9BEEE}"/>
  </w:font>
  <w:font w:name="楷体_GB2312">
    <w:altName w:val="楷体"/>
    <w:panose1 w:val="00000000000000000000"/>
    <w:charset w:val="86"/>
    <w:family w:val="modern"/>
    <w:pitch w:val="default"/>
    <w:sig w:usb0="00000000" w:usb1="00000000" w:usb2="00000010" w:usb3="00000000" w:csb0="00040000" w:csb1="00000000"/>
    <w:embedRegular r:id="rId5" w:fontKey="{19A91D98-6373-4DF3-BB2D-936D7817086D}"/>
  </w:font>
  <w:font w:name="仿宋">
    <w:panose1 w:val="02010609060101010101"/>
    <w:charset w:val="86"/>
    <w:family w:val="modern"/>
    <w:pitch w:val="default"/>
    <w:sig w:usb0="800002BF" w:usb1="38CF7CFA" w:usb2="00000016" w:usb3="00000000" w:csb0="00040001" w:csb1="00000000"/>
    <w:embedRegular r:id="rId6" w:fontKey="{62C02DE4-0BC3-447F-8C8D-A6206E20DAE1}"/>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089E">
    <w:pPr>
      <w:pStyle w:val="5"/>
      <w:spacing w:line="14" w:lineRule="auto"/>
      <w:rPr>
        <w:sz w:val="20"/>
      </w:rPr>
    </w:pPr>
    <w:r>
      <w:rPr>
        <w:lang w:val="en-US" w:bidi="ar-SA"/>
      </w:rPr>
      <w:pict>
        <v:shape id="文本框 6" o:spid="_x0000_s2049" o:spt="202" type="#_x0000_t202" style="position:absolute;left:0pt;margin-left:481.5pt;margin-top:775.2pt;height:16.05pt;width:51.05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">
          <v:path/>
          <v:fill on="f" focussize="0,0"/>
          <v:stroke on="f" joinstyle="miter"/>
          <v:imagedata o:title=""/>
          <o:lock v:ext="edit"/>
          <v:textbox inset="0mm,0mm,0mm,0mm">
            <w:txbxContent>
              <w:p w14:paraId="6BBF8CDC">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03EB">
    <w:pPr>
      <w:pStyle w:val="5"/>
      <w:spacing w:line="14" w:lineRule="auto"/>
      <w:rPr>
        <w:sz w:val="20"/>
      </w:rPr>
    </w:pPr>
    <w:r>
      <w:rPr>
        <w:lang w:val="en-US" w:bidi="ar-SA"/>
      </w:rPr>
      <w:pict>
        <v:shape id="文本框 5" o:spid="_x0000_s2050" o:spt="202" type="#_x0000_t202" style="position:absolute;left:0pt;margin-left:81.2pt;margin-top:775.2pt;height:16.05pt;width:51.0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">
          <v:path/>
          <v:fill on="f" focussize="0,0"/>
          <v:stroke on="f" joinstyle="miter"/>
          <v:imagedata o:title=""/>
          <o:lock v:ext="edit"/>
          <v:textbox inset="0mm,0mm,0mm,0mm">
            <w:txbxContent>
              <w:p w14:paraId="5CEFEBAC">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4</w:t>
                </w:r>
                <w:r>
                  <w:fldChar w:fldCharType="end"/>
                </w:r>
                <w:r>
                  <w:rPr>
                    <w:rFonts w:ascii="宋体"/>
                    <w:sz w:val="28"/>
                  </w:rPr>
                  <w:t xml:space="preserve"> -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dit="readOnly"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ZGQyODNmY2RhY2NkMmE5ZTVkMjkzN2Y1NTY5MjQifQ=="/>
    <w:docVar w:name="KGWebUrl" w:val="http://oa.scau.edu.cn/seeyon/officeservlet"/>
  </w:docVars>
  <w:rsids>
    <w:rsidRoot w:val="006D20CB"/>
    <w:rsid w:val="00005BB2"/>
    <w:rsid w:val="00022BDD"/>
    <w:rsid w:val="00027A3A"/>
    <w:rsid w:val="00072137"/>
    <w:rsid w:val="00076BBD"/>
    <w:rsid w:val="000827C6"/>
    <w:rsid w:val="00095146"/>
    <w:rsid w:val="000A51AD"/>
    <w:rsid w:val="000D407D"/>
    <w:rsid w:val="000E3770"/>
    <w:rsid w:val="001001CB"/>
    <w:rsid w:val="00100C27"/>
    <w:rsid w:val="001164C8"/>
    <w:rsid w:val="001246C9"/>
    <w:rsid w:val="00127272"/>
    <w:rsid w:val="001277B0"/>
    <w:rsid w:val="00132713"/>
    <w:rsid w:val="00155351"/>
    <w:rsid w:val="00175313"/>
    <w:rsid w:val="00185558"/>
    <w:rsid w:val="0019365F"/>
    <w:rsid w:val="001B5C08"/>
    <w:rsid w:val="001C1566"/>
    <w:rsid w:val="00200203"/>
    <w:rsid w:val="00213127"/>
    <w:rsid w:val="00233C25"/>
    <w:rsid w:val="002433E7"/>
    <w:rsid w:val="002A4C77"/>
    <w:rsid w:val="002A602F"/>
    <w:rsid w:val="002B5A60"/>
    <w:rsid w:val="002C7828"/>
    <w:rsid w:val="002D3913"/>
    <w:rsid w:val="002E55C2"/>
    <w:rsid w:val="002F0A61"/>
    <w:rsid w:val="00314B86"/>
    <w:rsid w:val="003259F9"/>
    <w:rsid w:val="00334D77"/>
    <w:rsid w:val="003405E2"/>
    <w:rsid w:val="0034284B"/>
    <w:rsid w:val="0035538F"/>
    <w:rsid w:val="003640CD"/>
    <w:rsid w:val="0037632C"/>
    <w:rsid w:val="003776F8"/>
    <w:rsid w:val="00387E0F"/>
    <w:rsid w:val="003B1A1D"/>
    <w:rsid w:val="003B2888"/>
    <w:rsid w:val="003B4310"/>
    <w:rsid w:val="003B7E7F"/>
    <w:rsid w:val="003C4B3D"/>
    <w:rsid w:val="00401EBD"/>
    <w:rsid w:val="00410B2A"/>
    <w:rsid w:val="004123E5"/>
    <w:rsid w:val="00427849"/>
    <w:rsid w:val="0043136E"/>
    <w:rsid w:val="00442ED6"/>
    <w:rsid w:val="0044548F"/>
    <w:rsid w:val="00445CBC"/>
    <w:rsid w:val="00465304"/>
    <w:rsid w:val="00470D77"/>
    <w:rsid w:val="00485FD7"/>
    <w:rsid w:val="004938A8"/>
    <w:rsid w:val="00497CFB"/>
    <w:rsid w:val="004B571B"/>
    <w:rsid w:val="004D41C1"/>
    <w:rsid w:val="004F10BE"/>
    <w:rsid w:val="00501C4B"/>
    <w:rsid w:val="0050619B"/>
    <w:rsid w:val="00507C7C"/>
    <w:rsid w:val="00514B36"/>
    <w:rsid w:val="0054223F"/>
    <w:rsid w:val="00545F4E"/>
    <w:rsid w:val="005654D6"/>
    <w:rsid w:val="00566716"/>
    <w:rsid w:val="005765EB"/>
    <w:rsid w:val="005809E3"/>
    <w:rsid w:val="00592EBD"/>
    <w:rsid w:val="005949B8"/>
    <w:rsid w:val="005B68C1"/>
    <w:rsid w:val="005C31FF"/>
    <w:rsid w:val="005D754D"/>
    <w:rsid w:val="0061247F"/>
    <w:rsid w:val="006221C0"/>
    <w:rsid w:val="0062720A"/>
    <w:rsid w:val="0064570A"/>
    <w:rsid w:val="00650C9B"/>
    <w:rsid w:val="00653C04"/>
    <w:rsid w:val="00656091"/>
    <w:rsid w:val="00676A6C"/>
    <w:rsid w:val="00691C6E"/>
    <w:rsid w:val="006A5555"/>
    <w:rsid w:val="006C0A20"/>
    <w:rsid w:val="006C3841"/>
    <w:rsid w:val="006C7C9B"/>
    <w:rsid w:val="006D20CB"/>
    <w:rsid w:val="006D2A98"/>
    <w:rsid w:val="00704040"/>
    <w:rsid w:val="007305F2"/>
    <w:rsid w:val="00736195"/>
    <w:rsid w:val="00736895"/>
    <w:rsid w:val="007421A8"/>
    <w:rsid w:val="00763621"/>
    <w:rsid w:val="007649AD"/>
    <w:rsid w:val="00773C41"/>
    <w:rsid w:val="007840A1"/>
    <w:rsid w:val="00791A4D"/>
    <w:rsid w:val="00794FD7"/>
    <w:rsid w:val="007A1E1B"/>
    <w:rsid w:val="007A3B28"/>
    <w:rsid w:val="007B4C60"/>
    <w:rsid w:val="007C47EF"/>
    <w:rsid w:val="00824177"/>
    <w:rsid w:val="00825F1C"/>
    <w:rsid w:val="008327F1"/>
    <w:rsid w:val="00846A62"/>
    <w:rsid w:val="00865801"/>
    <w:rsid w:val="00885B23"/>
    <w:rsid w:val="008C5DF1"/>
    <w:rsid w:val="008C5F82"/>
    <w:rsid w:val="008F0DC0"/>
    <w:rsid w:val="008F2641"/>
    <w:rsid w:val="008F629F"/>
    <w:rsid w:val="008F7078"/>
    <w:rsid w:val="008F7684"/>
    <w:rsid w:val="00922E7F"/>
    <w:rsid w:val="0093758D"/>
    <w:rsid w:val="00941905"/>
    <w:rsid w:val="009543F8"/>
    <w:rsid w:val="0096055A"/>
    <w:rsid w:val="00962D84"/>
    <w:rsid w:val="0097564C"/>
    <w:rsid w:val="009A1874"/>
    <w:rsid w:val="009A36C3"/>
    <w:rsid w:val="009B61F2"/>
    <w:rsid w:val="009D180A"/>
    <w:rsid w:val="009D2DDA"/>
    <w:rsid w:val="009F18C5"/>
    <w:rsid w:val="00A01ED1"/>
    <w:rsid w:val="00A15932"/>
    <w:rsid w:val="00A17781"/>
    <w:rsid w:val="00A20BC8"/>
    <w:rsid w:val="00A22BAB"/>
    <w:rsid w:val="00A4065B"/>
    <w:rsid w:val="00A42EE6"/>
    <w:rsid w:val="00A43DE0"/>
    <w:rsid w:val="00A46CB1"/>
    <w:rsid w:val="00A52BD9"/>
    <w:rsid w:val="00A6758E"/>
    <w:rsid w:val="00A80A24"/>
    <w:rsid w:val="00A851D8"/>
    <w:rsid w:val="00AA1503"/>
    <w:rsid w:val="00AA2301"/>
    <w:rsid w:val="00AA552A"/>
    <w:rsid w:val="00AB2BB0"/>
    <w:rsid w:val="00AE19AB"/>
    <w:rsid w:val="00B14027"/>
    <w:rsid w:val="00B2161E"/>
    <w:rsid w:val="00B220B1"/>
    <w:rsid w:val="00B66BBC"/>
    <w:rsid w:val="00B71731"/>
    <w:rsid w:val="00B75749"/>
    <w:rsid w:val="00B7792F"/>
    <w:rsid w:val="00BB1076"/>
    <w:rsid w:val="00BC1580"/>
    <w:rsid w:val="00BC5774"/>
    <w:rsid w:val="00BE00CA"/>
    <w:rsid w:val="00BE6EEB"/>
    <w:rsid w:val="00BF0E19"/>
    <w:rsid w:val="00C05C50"/>
    <w:rsid w:val="00C05FBE"/>
    <w:rsid w:val="00C24B32"/>
    <w:rsid w:val="00C275CE"/>
    <w:rsid w:val="00C464A2"/>
    <w:rsid w:val="00C5670E"/>
    <w:rsid w:val="00C603FA"/>
    <w:rsid w:val="00C873F4"/>
    <w:rsid w:val="00C93DF3"/>
    <w:rsid w:val="00CC050A"/>
    <w:rsid w:val="00D260BF"/>
    <w:rsid w:val="00D37011"/>
    <w:rsid w:val="00D61BAA"/>
    <w:rsid w:val="00D83E6F"/>
    <w:rsid w:val="00D852CB"/>
    <w:rsid w:val="00D97D79"/>
    <w:rsid w:val="00DA3DC0"/>
    <w:rsid w:val="00DE2DDD"/>
    <w:rsid w:val="00DF40B8"/>
    <w:rsid w:val="00E04285"/>
    <w:rsid w:val="00E07A4D"/>
    <w:rsid w:val="00E128C3"/>
    <w:rsid w:val="00E232E1"/>
    <w:rsid w:val="00E25489"/>
    <w:rsid w:val="00E37111"/>
    <w:rsid w:val="00E41F4B"/>
    <w:rsid w:val="00E521B1"/>
    <w:rsid w:val="00E5555B"/>
    <w:rsid w:val="00E8754A"/>
    <w:rsid w:val="00E9135D"/>
    <w:rsid w:val="00EB1A36"/>
    <w:rsid w:val="00EB23FC"/>
    <w:rsid w:val="00EB4C70"/>
    <w:rsid w:val="00ED39BB"/>
    <w:rsid w:val="00EE46C9"/>
    <w:rsid w:val="00F16B98"/>
    <w:rsid w:val="00F20E62"/>
    <w:rsid w:val="00F43FFE"/>
    <w:rsid w:val="00F467CE"/>
    <w:rsid w:val="00F536C3"/>
    <w:rsid w:val="00F6408D"/>
    <w:rsid w:val="00F9404B"/>
    <w:rsid w:val="00FD6A9D"/>
    <w:rsid w:val="013730A5"/>
    <w:rsid w:val="014359D0"/>
    <w:rsid w:val="019B53E2"/>
    <w:rsid w:val="01B80B7A"/>
    <w:rsid w:val="01BD17FD"/>
    <w:rsid w:val="01C012ED"/>
    <w:rsid w:val="01C81F50"/>
    <w:rsid w:val="02092C94"/>
    <w:rsid w:val="023D46EC"/>
    <w:rsid w:val="02B06584"/>
    <w:rsid w:val="03183396"/>
    <w:rsid w:val="03261624"/>
    <w:rsid w:val="0326470A"/>
    <w:rsid w:val="032D29B2"/>
    <w:rsid w:val="03541CED"/>
    <w:rsid w:val="03C055D4"/>
    <w:rsid w:val="03D80B70"/>
    <w:rsid w:val="042E69E2"/>
    <w:rsid w:val="044B1342"/>
    <w:rsid w:val="046E3282"/>
    <w:rsid w:val="04CB037F"/>
    <w:rsid w:val="04CC1D57"/>
    <w:rsid w:val="04F33787"/>
    <w:rsid w:val="05085485"/>
    <w:rsid w:val="05145E61"/>
    <w:rsid w:val="05412745"/>
    <w:rsid w:val="05461B09"/>
    <w:rsid w:val="056A3A30"/>
    <w:rsid w:val="058C7E64"/>
    <w:rsid w:val="060F45F1"/>
    <w:rsid w:val="066B5CCB"/>
    <w:rsid w:val="078A58ED"/>
    <w:rsid w:val="07C136C9"/>
    <w:rsid w:val="07F03F96"/>
    <w:rsid w:val="08B651F8"/>
    <w:rsid w:val="08F5133F"/>
    <w:rsid w:val="0911611B"/>
    <w:rsid w:val="092B1742"/>
    <w:rsid w:val="09336848"/>
    <w:rsid w:val="097C62C6"/>
    <w:rsid w:val="098D3016"/>
    <w:rsid w:val="099A273A"/>
    <w:rsid w:val="09F77876"/>
    <w:rsid w:val="0A3B59B5"/>
    <w:rsid w:val="0A4800D1"/>
    <w:rsid w:val="0AD57BB7"/>
    <w:rsid w:val="0ADA51CD"/>
    <w:rsid w:val="0B1F52D6"/>
    <w:rsid w:val="0BAB4DBC"/>
    <w:rsid w:val="0BBE4AEF"/>
    <w:rsid w:val="0BC9250F"/>
    <w:rsid w:val="0BCA5242"/>
    <w:rsid w:val="0BE502CE"/>
    <w:rsid w:val="0C692CAD"/>
    <w:rsid w:val="0C8F3D96"/>
    <w:rsid w:val="0D0A78C0"/>
    <w:rsid w:val="0D2564A8"/>
    <w:rsid w:val="0D2C3CDA"/>
    <w:rsid w:val="0D5D5C42"/>
    <w:rsid w:val="0D6E4594"/>
    <w:rsid w:val="0E1A1D85"/>
    <w:rsid w:val="0E1C78AB"/>
    <w:rsid w:val="0E2844A2"/>
    <w:rsid w:val="0E2E2851"/>
    <w:rsid w:val="0E4F5ED2"/>
    <w:rsid w:val="0E5928AD"/>
    <w:rsid w:val="0EA004DC"/>
    <w:rsid w:val="0EA7186A"/>
    <w:rsid w:val="0EF820C6"/>
    <w:rsid w:val="0F3550C8"/>
    <w:rsid w:val="0F3B1FB3"/>
    <w:rsid w:val="0F5E063C"/>
    <w:rsid w:val="0FEE5277"/>
    <w:rsid w:val="10125409"/>
    <w:rsid w:val="10240C99"/>
    <w:rsid w:val="103F5AB4"/>
    <w:rsid w:val="10AC13BA"/>
    <w:rsid w:val="10B262A5"/>
    <w:rsid w:val="11160F29"/>
    <w:rsid w:val="112E1DCF"/>
    <w:rsid w:val="11691059"/>
    <w:rsid w:val="1182211B"/>
    <w:rsid w:val="11967974"/>
    <w:rsid w:val="11DD37F5"/>
    <w:rsid w:val="11E95829"/>
    <w:rsid w:val="120D5E88"/>
    <w:rsid w:val="122D652B"/>
    <w:rsid w:val="123F625E"/>
    <w:rsid w:val="13274D28"/>
    <w:rsid w:val="13347445"/>
    <w:rsid w:val="135D2E40"/>
    <w:rsid w:val="135D699C"/>
    <w:rsid w:val="136441CE"/>
    <w:rsid w:val="138228A6"/>
    <w:rsid w:val="13E62E35"/>
    <w:rsid w:val="13E7095B"/>
    <w:rsid w:val="13EA4F9A"/>
    <w:rsid w:val="13EC7D20"/>
    <w:rsid w:val="14117786"/>
    <w:rsid w:val="144B2C98"/>
    <w:rsid w:val="147C5547"/>
    <w:rsid w:val="148D505F"/>
    <w:rsid w:val="148F7048"/>
    <w:rsid w:val="14983A03"/>
    <w:rsid w:val="14B00D4D"/>
    <w:rsid w:val="14BC1DE8"/>
    <w:rsid w:val="15E74C42"/>
    <w:rsid w:val="15F1786F"/>
    <w:rsid w:val="16096967"/>
    <w:rsid w:val="16111CBF"/>
    <w:rsid w:val="161463D0"/>
    <w:rsid w:val="162E0AC3"/>
    <w:rsid w:val="16465E0D"/>
    <w:rsid w:val="16DA0303"/>
    <w:rsid w:val="16F413C5"/>
    <w:rsid w:val="16FA09A5"/>
    <w:rsid w:val="1743234C"/>
    <w:rsid w:val="178A1474"/>
    <w:rsid w:val="17EE050A"/>
    <w:rsid w:val="1811244B"/>
    <w:rsid w:val="183B1275"/>
    <w:rsid w:val="18EE62E8"/>
    <w:rsid w:val="192C753C"/>
    <w:rsid w:val="193463F1"/>
    <w:rsid w:val="19516FA3"/>
    <w:rsid w:val="19B27315"/>
    <w:rsid w:val="19BB08C0"/>
    <w:rsid w:val="19C178F5"/>
    <w:rsid w:val="19D90D46"/>
    <w:rsid w:val="1A38192C"/>
    <w:rsid w:val="1A52503F"/>
    <w:rsid w:val="1A5A1E87"/>
    <w:rsid w:val="1A655C2D"/>
    <w:rsid w:val="1AF256D2"/>
    <w:rsid w:val="1B0B13D3"/>
    <w:rsid w:val="1B783780"/>
    <w:rsid w:val="1BC82E20"/>
    <w:rsid w:val="1BE7599C"/>
    <w:rsid w:val="1BF14125"/>
    <w:rsid w:val="1BF97C50"/>
    <w:rsid w:val="1C200EAE"/>
    <w:rsid w:val="1C33298F"/>
    <w:rsid w:val="1C640D9B"/>
    <w:rsid w:val="1CD06430"/>
    <w:rsid w:val="1D686669"/>
    <w:rsid w:val="1D6E17A5"/>
    <w:rsid w:val="1DF07126"/>
    <w:rsid w:val="1E430E84"/>
    <w:rsid w:val="1EB678A8"/>
    <w:rsid w:val="1F134CFA"/>
    <w:rsid w:val="1F1A1BE5"/>
    <w:rsid w:val="1F7A6B27"/>
    <w:rsid w:val="1FA92F69"/>
    <w:rsid w:val="200F101E"/>
    <w:rsid w:val="200F54C2"/>
    <w:rsid w:val="203E7B55"/>
    <w:rsid w:val="20653333"/>
    <w:rsid w:val="20BB2F53"/>
    <w:rsid w:val="20CE2C87"/>
    <w:rsid w:val="20D12777"/>
    <w:rsid w:val="21376629"/>
    <w:rsid w:val="21AD6D40"/>
    <w:rsid w:val="220B1CB9"/>
    <w:rsid w:val="22AC524A"/>
    <w:rsid w:val="22B03475"/>
    <w:rsid w:val="22D36C7A"/>
    <w:rsid w:val="22DB5B2F"/>
    <w:rsid w:val="2309444A"/>
    <w:rsid w:val="231D1CA3"/>
    <w:rsid w:val="2322550C"/>
    <w:rsid w:val="237A0EA4"/>
    <w:rsid w:val="23F0560A"/>
    <w:rsid w:val="240A66CC"/>
    <w:rsid w:val="24280900"/>
    <w:rsid w:val="2443398C"/>
    <w:rsid w:val="244D1F34"/>
    <w:rsid w:val="247022A7"/>
    <w:rsid w:val="24DB3BC4"/>
    <w:rsid w:val="25341526"/>
    <w:rsid w:val="259F4BF2"/>
    <w:rsid w:val="25A93CC2"/>
    <w:rsid w:val="25F018F1"/>
    <w:rsid w:val="26234C27"/>
    <w:rsid w:val="26296BB1"/>
    <w:rsid w:val="26E054C2"/>
    <w:rsid w:val="272D447F"/>
    <w:rsid w:val="27361586"/>
    <w:rsid w:val="279E55D7"/>
    <w:rsid w:val="279F0F9A"/>
    <w:rsid w:val="28773C04"/>
    <w:rsid w:val="288D3427"/>
    <w:rsid w:val="28B135BA"/>
    <w:rsid w:val="28DE0127"/>
    <w:rsid w:val="29365CAD"/>
    <w:rsid w:val="2A4E308A"/>
    <w:rsid w:val="2B146082"/>
    <w:rsid w:val="2B1C0A93"/>
    <w:rsid w:val="2B3058EC"/>
    <w:rsid w:val="2B395AE8"/>
    <w:rsid w:val="2B644C67"/>
    <w:rsid w:val="2B6A7A50"/>
    <w:rsid w:val="2B7D3C27"/>
    <w:rsid w:val="2B7E52A9"/>
    <w:rsid w:val="2BB533C1"/>
    <w:rsid w:val="2C063C1D"/>
    <w:rsid w:val="2C8B5ED0"/>
    <w:rsid w:val="2C901738"/>
    <w:rsid w:val="2D4A7B39"/>
    <w:rsid w:val="2D52210B"/>
    <w:rsid w:val="2D66637A"/>
    <w:rsid w:val="2D7050C6"/>
    <w:rsid w:val="2DE81100"/>
    <w:rsid w:val="2E2E3044"/>
    <w:rsid w:val="2E6C3ADF"/>
    <w:rsid w:val="2E8250B1"/>
    <w:rsid w:val="2E8B665B"/>
    <w:rsid w:val="2E8E614B"/>
    <w:rsid w:val="2F104532"/>
    <w:rsid w:val="2F1E127D"/>
    <w:rsid w:val="2F9034E5"/>
    <w:rsid w:val="2FC516F9"/>
    <w:rsid w:val="2FD13A6D"/>
    <w:rsid w:val="30A6777C"/>
    <w:rsid w:val="316513E5"/>
    <w:rsid w:val="31C96134"/>
    <w:rsid w:val="31D65E3F"/>
    <w:rsid w:val="327318E0"/>
    <w:rsid w:val="328B5C0A"/>
    <w:rsid w:val="32A7158A"/>
    <w:rsid w:val="32B11408"/>
    <w:rsid w:val="32C959A4"/>
    <w:rsid w:val="331F3816"/>
    <w:rsid w:val="335D7E9A"/>
    <w:rsid w:val="33704071"/>
    <w:rsid w:val="33B421B0"/>
    <w:rsid w:val="33FE78CF"/>
    <w:rsid w:val="34D26068"/>
    <w:rsid w:val="35A9292E"/>
    <w:rsid w:val="35D00DF7"/>
    <w:rsid w:val="364610BA"/>
    <w:rsid w:val="368D7A56"/>
    <w:rsid w:val="36E27034"/>
    <w:rsid w:val="379D0C8B"/>
    <w:rsid w:val="37CB0B6E"/>
    <w:rsid w:val="38460832"/>
    <w:rsid w:val="385B0E4C"/>
    <w:rsid w:val="38934A8A"/>
    <w:rsid w:val="38C2711D"/>
    <w:rsid w:val="38E80667"/>
    <w:rsid w:val="38F66DC7"/>
    <w:rsid w:val="39822409"/>
    <w:rsid w:val="39A46823"/>
    <w:rsid w:val="39C83732"/>
    <w:rsid w:val="39F50E2C"/>
    <w:rsid w:val="3A013C75"/>
    <w:rsid w:val="3A0F354D"/>
    <w:rsid w:val="3AD924FC"/>
    <w:rsid w:val="3B3D2A8B"/>
    <w:rsid w:val="3B712735"/>
    <w:rsid w:val="3BE13D5E"/>
    <w:rsid w:val="3C425AB9"/>
    <w:rsid w:val="3C495460"/>
    <w:rsid w:val="3C6A3D54"/>
    <w:rsid w:val="3C6F51F3"/>
    <w:rsid w:val="3C7249B6"/>
    <w:rsid w:val="3D42082D"/>
    <w:rsid w:val="3D4F1909"/>
    <w:rsid w:val="3D7D7AB7"/>
    <w:rsid w:val="3E3A7756"/>
    <w:rsid w:val="3EA80B63"/>
    <w:rsid w:val="3EDE4585"/>
    <w:rsid w:val="3EED2A1A"/>
    <w:rsid w:val="3F081602"/>
    <w:rsid w:val="3F122481"/>
    <w:rsid w:val="3F3E3276"/>
    <w:rsid w:val="3F422D66"/>
    <w:rsid w:val="3F6820A1"/>
    <w:rsid w:val="3F6902F3"/>
    <w:rsid w:val="3F740A45"/>
    <w:rsid w:val="3F8213B4"/>
    <w:rsid w:val="3F9D1D4A"/>
    <w:rsid w:val="3FB86B84"/>
    <w:rsid w:val="3FE756BB"/>
    <w:rsid w:val="402567FE"/>
    <w:rsid w:val="403A3A3D"/>
    <w:rsid w:val="40520D87"/>
    <w:rsid w:val="40721429"/>
    <w:rsid w:val="40DA0D7C"/>
    <w:rsid w:val="41DC4B1F"/>
    <w:rsid w:val="420E33D3"/>
    <w:rsid w:val="42FC322C"/>
    <w:rsid w:val="43A77ABD"/>
    <w:rsid w:val="445A46AE"/>
    <w:rsid w:val="4467501D"/>
    <w:rsid w:val="4484797D"/>
    <w:rsid w:val="44A90B4C"/>
    <w:rsid w:val="44BC296A"/>
    <w:rsid w:val="44F468B0"/>
    <w:rsid w:val="452D1DC2"/>
    <w:rsid w:val="45464C32"/>
    <w:rsid w:val="45667082"/>
    <w:rsid w:val="45AC718B"/>
    <w:rsid w:val="45E06E35"/>
    <w:rsid w:val="45E76415"/>
    <w:rsid w:val="45E87A97"/>
    <w:rsid w:val="45F1668A"/>
    <w:rsid w:val="46B2487C"/>
    <w:rsid w:val="46DD1A9B"/>
    <w:rsid w:val="47953C4F"/>
    <w:rsid w:val="486627A2"/>
    <w:rsid w:val="487D4E0F"/>
    <w:rsid w:val="48A64365"/>
    <w:rsid w:val="48D72771"/>
    <w:rsid w:val="48FB5D34"/>
    <w:rsid w:val="48FD7CFE"/>
    <w:rsid w:val="490C1CEF"/>
    <w:rsid w:val="49725FF6"/>
    <w:rsid w:val="49816239"/>
    <w:rsid w:val="4989333F"/>
    <w:rsid w:val="49975A5C"/>
    <w:rsid w:val="49C36851"/>
    <w:rsid w:val="49D071C0"/>
    <w:rsid w:val="4A0F5F3A"/>
    <w:rsid w:val="4A151242"/>
    <w:rsid w:val="4A64230F"/>
    <w:rsid w:val="4B3A0D95"/>
    <w:rsid w:val="4B7324F9"/>
    <w:rsid w:val="4BFC429C"/>
    <w:rsid w:val="4BFD664E"/>
    <w:rsid w:val="4C610F4B"/>
    <w:rsid w:val="4CCC57C7"/>
    <w:rsid w:val="4CD314A1"/>
    <w:rsid w:val="4D113D78"/>
    <w:rsid w:val="4D3A507C"/>
    <w:rsid w:val="4D4B11E0"/>
    <w:rsid w:val="4D7A7B6F"/>
    <w:rsid w:val="4D881296"/>
    <w:rsid w:val="4E1E04FA"/>
    <w:rsid w:val="4E245BA7"/>
    <w:rsid w:val="4E5263F6"/>
    <w:rsid w:val="4EA84268"/>
    <w:rsid w:val="4EB726FD"/>
    <w:rsid w:val="4F245FE4"/>
    <w:rsid w:val="4FD712A8"/>
    <w:rsid w:val="4FDB3DAC"/>
    <w:rsid w:val="4FF260E2"/>
    <w:rsid w:val="50041972"/>
    <w:rsid w:val="50175231"/>
    <w:rsid w:val="504306EC"/>
    <w:rsid w:val="50446212"/>
    <w:rsid w:val="509355E8"/>
    <w:rsid w:val="50BD30D6"/>
    <w:rsid w:val="514E65F3"/>
    <w:rsid w:val="517B5C63"/>
    <w:rsid w:val="517B679E"/>
    <w:rsid w:val="51A262B9"/>
    <w:rsid w:val="51B00003"/>
    <w:rsid w:val="51C770FB"/>
    <w:rsid w:val="51DF2696"/>
    <w:rsid w:val="51FF6894"/>
    <w:rsid w:val="52A64F62"/>
    <w:rsid w:val="52C04276"/>
    <w:rsid w:val="52F737F0"/>
    <w:rsid w:val="537071E2"/>
    <w:rsid w:val="53786C46"/>
    <w:rsid w:val="53901E9A"/>
    <w:rsid w:val="53A05E55"/>
    <w:rsid w:val="53C25DCC"/>
    <w:rsid w:val="53D31D87"/>
    <w:rsid w:val="53F51CFD"/>
    <w:rsid w:val="54285882"/>
    <w:rsid w:val="54971006"/>
    <w:rsid w:val="54CF07A0"/>
    <w:rsid w:val="550D294C"/>
    <w:rsid w:val="550D5B8B"/>
    <w:rsid w:val="55256612"/>
    <w:rsid w:val="5529361D"/>
    <w:rsid w:val="554C0043"/>
    <w:rsid w:val="55515659"/>
    <w:rsid w:val="55872E29"/>
    <w:rsid w:val="55F2133B"/>
    <w:rsid w:val="560C12A6"/>
    <w:rsid w:val="564263C6"/>
    <w:rsid w:val="56927CD7"/>
    <w:rsid w:val="56C67894"/>
    <w:rsid w:val="56EB5639"/>
    <w:rsid w:val="5730129E"/>
    <w:rsid w:val="573214BA"/>
    <w:rsid w:val="574E5760"/>
    <w:rsid w:val="57607DD5"/>
    <w:rsid w:val="57D165DD"/>
    <w:rsid w:val="58037765"/>
    <w:rsid w:val="583469E5"/>
    <w:rsid w:val="58977219"/>
    <w:rsid w:val="58A106A5"/>
    <w:rsid w:val="58A12453"/>
    <w:rsid w:val="58D42829"/>
    <w:rsid w:val="596A4F3B"/>
    <w:rsid w:val="59973CB3"/>
    <w:rsid w:val="59B63CDD"/>
    <w:rsid w:val="59BE7E6D"/>
    <w:rsid w:val="59E24AD2"/>
    <w:rsid w:val="59E7033A"/>
    <w:rsid w:val="59E92304"/>
    <w:rsid w:val="5A02222C"/>
    <w:rsid w:val="5A3D7F5A"/>
    <w:rsid w:val="5A4D356A"/>
    <w:rsid w:val="5A8B33BB"/>
    <w:rsid w:val="5AE42ACB"/>
    <w:rsid w:val="5B06790A"/>
    <w:rsid w:val="5B136F0D"/>
    <w:rsid w:val="5B1F43C8"/>
    <w:rsid w:val="5B991B08"/>
    <w:rsid w:val="5BA100CC"/>
    <w:rsid w:val="5BB71F8E"/>
    <w:rsid w:val="5C00652C"/>
    <w:rsid w:val="5C21048E"/>
    <w:rsid w:val="5C34674A"/>
    <w:rsid w:val="5C49708A"/>
    <w:rsid w:val="5D557CB0"/>
    <w:rsid w:val="5F41673E"/>
    <w:rsid w:val="5F577D10"/>
    <w:rsid w:val="5FF76DFD"/>
    <w:rsid w:val="606A75CF"/>
    <w:rsid w:val="60912412"/>
    <w:rsid w:val="60A2320D"/>
    <w:rsid w:val="60BD0047"/>
    <w:rsid w:val="60CC2038"/>
    <w:rsid w:val="6138147B"/>
    <w:rsid w:val="618648DC"/>
    <w:rsid w:val="619C2341"/>
    <w:rsid w:val="61A93BDE"/>
    <w:rsid w:val="61FA2BD4"/>
    <w:rsid w:val="622B0B90"/>
    <w:rsid w:val="62612C54"/>
    <w:rsid w:val="626544F2"/>
    <w:rsid w:val="62AE5EBC"/>
    <w:rsid w:val="62E775FD"/>
    <w:rsid w:val="62F12229"/>
    <w:rsid w:val="6300421A"/>
    <w:rsid w:val="63B82D47"/>
    <w:rsid w:val="63EE6769"/>
    <w:rsid w:val="642B2D7D"/>
    <w:rsid w:val="64315086"/>
    <w:rsid w:val="64DB6CED"/>
    <w:rsid w:val="64DF4A2F"/>
    <w:rsid w:val="655F16CC"/>
    <w:rsid w:val="65640A91"/>
    <w:rsid w:val="6569254B"/>
    <w:rsid w:val="65830C92"/>
    <w:rsid w:val="65E41BD1"/>
    <w:rsid w:val="65F00576"/>
    <w:rsid w:val="667271DD"/>
    <w:rsid w:val="676236F6"/>
    <w:rsid w:val="677A17D2"/>
    <w:rsid w:val="67D53EC8"/>
    <w:rsid w:val="682F3E90"/>
    <w:rsid w:val="68637725"/>
    <w:rsid w:val="686B65DA"/>
    <w:rsid w:val="687234C5"/>
    <w:rsid w:val="687A05CB"/>
    <w:rsid w:val="69085BD7"/>
    <w:rsid w:val="69224EEB"/>
    <w:rsid w:val="69450BD9"/>
    <w:rsid w:val="695D23C7"/>
    <w:rsid w:val="696279DD"/>
    <w:rsid w:val="69913E1E"/>
    <w:rsid w:val="6AA95198"/>
    <w:rsid w:val="6AC36259"/>
    <w:rsid w:val="6ADA35A3"/>
    <w:rsid w:val="6ADE3093"/>
    <w:rsid w:val="6B267FC9"/>
    <w:rsid w:val="6B5C045C"/>
    <w:rsid w:val="6B6D4417"/>
    <w:rsid w:val="6B9D6AAA"/>
    <w:rsid w:val="6C2471CC"/>
    <w:rsid w:val="6C296590"/>
    <w:rsid w:val="6C4258A4"/>
    <w:rsid w:val="6C4A50F1"/>
    <w:rsid w:val="6C7F2654"/>
    <w:rsid w:val="6C8859AD"/>
    <w:rsid w:val="6C991968"/>
    <w:rsid w:val="6CCB5899"/>
    <w:rsid w:val="6CDF30F3"/>
    <w:rsid w:val="6D1159A2"/>
    <w:rsid w:val="6D7E46BA"/>
    <w:rsid w:val="6DCC7B1B"/>
    <w:rsid w:val="6E9A5523"/>
    <w:rsid w:val="6F1C062E"/>
    <w:rsid w:val="6F210368"/>
    <w:rsid w:val="6F2F210F"/>
    <w:rsid w:val="6F316A46"/>
    <w:rsid w:val="6F8306AD"/>
    <w:rsid w:val="6FCC3E02"/>
    <w:rsid w:val="6FCF76FD"/>
    <w:rsid w:val="7018736E"/>
    <w:rsid w:val="702552C0"/>
    <w:rsid w:val="702F613F"/>
    <w:rsid w:val="706E6C67"/>
    <w:rsid w:val="70C54539"/>
    <w:rsid w:val="70C920F0"/>
    <w:rsid w:val="70D32F6E"/>
    <w:rsid w:val="711173A2"/>
    <w:rsid w:val="7126403B"/>
    <w:rsid w:val="718723F7"/>
    <w:rsid w:val="72367C59"/>
    <w:rsid w:val="72451C4A"/>
    <w:rsid w:val="725325B9"/>
    <w:rsid w:val="7258197D"/>
    <w:rsid w:val="72881E74"/>
    <w:rsid w:val="72BF19FC"/>
    <w:rsid w:val="732A7B95"/>
    <w:rsid w:val="734D455D"/>
    <w:rsid w:val="73AA26AC"/>
    <w:rsid w:val="74066CC7"/>
    <w:rsid w:val="747E1443"/>
    <w:rsid w:val="74DE07D3"/>
    <w:rsid w:val="74E90832"/>
    <w:rsid w:val="751A5610"/>
    <w:rsid w:val="755C08E4"/>
    <w:rsid w:val="75B25848"/>
    <w:rsid w:val="75CB06B8"/>
    <w:rsid w:val="75E023B5"/>
    <w:rsid w:val="761C0F14"/>
    <w:rsid w:val="761C375F"/>
    <w:rsid w:val="762F0C47"/>
    <w:rsid w:val="763F1035"/>
    <w:rsid w:val="76676633"/>
    <w:rsid w:val="769D0F84"/>
    <w:rsid w:val="76A333E3"/>
    <w:rsid w:val="76CA0970"/>
    <w:rsid w:val="76E50438"/>
    <w:rsid w:val="76F8372F"/>
    <w:rsid w:val="771A18F7"/>
    <w:rsid w:val="779D6084"/>
    <w:rsid w:val="77BA31DC"/>
    <w:rsid w:val="77BF424C"/>
    <w:rsid w:val="7808174F"/>
    <w:rsid w:val="78A0407E"/>
    <w:rsid w:val="78A371FC"/>
    <w:rsid w:val="78C87131"/>
    <w:rsid w:val="791800B8"/>
    <w:rsid w:val="792C76C0"/>
    <w:rsid w:val="79CB01CF"/>
    <w:rsid w:val="79F05F2C"/>
    <w:rsid w:val="7A13262E"/>
    <w:rsid w:val="7A6A04A0"/>
    <w:rsid w:val="7A8C2B0C"/>
    <w:rsid w:val="7B71585E"/>
    <w:rsid w:val="7B8657AD"/>
    <w:rsid w:val="7BB0282A"/>
    <w:rsid w:val="7BB340C8"/>
    <w:rsid w:val="7BBA0FB3"/>
    <w:rsid w:val="7BDF6C6B"/>
    <w:rsid w:val="7BF87D2D"/>
    <w:rsid w:val="7C3A6597"/>
    <w:rsid w:val="7CB77BE8"/>
    <w:rsid w:val="7CB93960"/>
    <w:rsid w:val="7CBB3234"/>
    <w:rsid w:val="7CC06A9D"/>
    <w:rsid w:val="7CD412AB"/>
    <w:rsid w:val="7CE441D6"/>
    <w:rsid w:val="7D7358BD"/>
    <w:rsid w:val="7DA71A0B"/>
    <w:rsid w:val="7DBA7990"/>
    <w:rsid w:val="7E1E2589"/>
    <w:rsid w:val="7E266DD3"/>
    <w:rsid w:val="7E851D4C"/>
    <w:rsid w:val="7E865AC4"/>
    <w:rsid w:val="7EA30424"/>
    <w:rsid w:val="7EAF0B77"/>
    <w:rsid w:val="7EF93EEC"/>
    <w:rsid w:val="7F611D18"/>
    <w:rsid w:val="7F963AE5"/>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link w:val="13"/>
    <w:qFormat/>
    <w:uiPriority w:val="1"/>
    <w:pPr>
      <w:ind w:left="384"/>
      <w:outlineLvl w:val="0"/>
    </w:pPr>
    <w:rPr>
      <w:rFonts w:ascii="Arial Unicode MS" w:hAnsi="Arial Unicode MS" w:eastAsia="Arial Unicode MS" w:cs="Arial Unicode MS"/>
      <w:sz w:val="44"/>
      <w:szCs w:val="44"/>
    </w:rPr>
  </w:style>
  <w:style w:type="paragraph" w:styleId="3">
    <w:name w:val="heading 2"/>
    <w:basedOn w:val="1"/>
    <w:next w:val="1"/>
    <w:link w:val="14"/>
    <w:qFormat/>
    <w:uiPriority w:val="1"/>
    <w:pPr>
      <w:spacing w:before="166"/>
      <w:ind w:left="1510" w:hanging="483"/>
      <w:outlineLvl w:val="1"/>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style>
  <w:style w:type="paragraph" w:styleId="5">
    <w:name w:val="Body Text"/>
    <w:basedOn w:val="1"/>
    <w:link w:val="16"/>
    <w:qFormat/>
    <w:uiPriority w:val="1"/>
    <w:rPr>
      <w:sz w:val="32"/>
      <w:szCs w:val="32"/>
    </w:rPr>
  </w:style>
  <w:style w:type="paragraph" w:styleId="6">
    <w:name w:val="Balloon Text"/>
    <w:basedOn w:val="1"/>
    <w:link w:val="19"/>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99"/>
    <w:rPr>
      <w:b/>
      <w:bCs/>
    </w:rPr>
  </w:style>
  <w:style w:type="character" w:styleId="12">
    <w:name w:val="annotation reference"/>
    <w:basedOn w:val="11"/>
    <w:qFormat/>
    <w:uiPriority w:val="0"/>
    <w:rPr>
      <w:sz w:val="21"/>
      <w:szCs w:val="21"/>
    </w:rPr>
  </w:style>
  <w:style w:type="character" w:customStyle="1" w:styleId="13">
    <w:name w:val="标题 1 字符"/>
    <w:basedOn w:val="11"/>
    <w:link w:val="2"/>
    <w:qFormat/>
    <w:uiPriority w:val="1"/>
    <w:rPr>
      <w:rFonts w:ascii="Arial Unicode MS" w:hAnsi="Arial Unicode MS" w:eastAsia="Arial Unicode MS" w:cs="Arial Unicode MS"/>
      <w:kern w:val="0"/>
      <w:sz w:val="44"/>
      <w:szCs w:val="44"/>
      <w:lang w:val="zh-CN" w:bidi="zh-CN"/>
    </w:rPr>
  </w:style>
  <w:style w:type="character" w:customStyle="1" w:styleId="14">
    <w:name w:val="标题 2 字符"/>
    <w:basedOn w:val="11"/>
    <w:link w:val="3"/>
    <w:qFormat/>
    <w:uiPriority w:val="1"/>
    <w:rPr>
      <w:rFonts w:ascii="仿宋_GB2312" w:hAnsi="仿宋_GB2312" w:eastAsia="仿宋_GB2312" w:cs="仿宋_GB2312"/>
      <w:b/>
      <w:bCs/>
      <w:kern w:val="0"/>
      <w:sz w:val="32"/>
      <w:szCs w:val="32"/>
      <w:lang w:val="zh-CN" w:bidi="zh-CN"/>
    </w:rPr>
  </w:style>
  <w:style w:type="character" w:customStyle="1" w:styleId="15">
    <w:name w:val="批注文字 字符"/>
    <w:basedOn w:val="11"/>
    <w:link w:val="4"/>
    <w:qFormat/>
    <w:uiPriority w:val="0"/>
    <w:rPr>
      <w:rFonts w:ascii="仿宋_GB2312" w:hAnsi="仿宋_GB2312" w:eastAsia="仿宋_GB2312" w:cs="仿宋_GB2312"/>
      <w:kern w:val="0"/>
      <w:sz w:val="22"/>
      <w:lang w:val="zh-CN" w:bidi="zh-CN"/>
    </w:rPr>
  </w:style>
  <w:style w:type="character" w:customStyle="1" w:styleId="16">
    <w:name w:val="正文文本 字符"/>
    <w:basedOn w:val="11"/>
    <w:link w:val="5"/>
    <w:qFormat/>
    <w:uiPriority w:val="1"/>
    <w:rPr>
      <w:rFonts w:ascii="仿宋_GB2312" w:hAnsi="仿宋_GB2312" w:eastAsia="仿宋_GB2312" w:cs="仿宋_GB2312"/>
      <w:kern w:val="0"/>
      <w:sz w:val="32"/>
      <w:szCs w:val="32"/>
      <w:lang w:val="zh-CN" w:bidi="zh-CN"/>
    </w:rPr>
  </w:style>
  <w:style w:type="paragraph" w:styleId="17">
    <w:name w:val="List Paragraph"/>
    <w:basedOn w:val="1"/>
    <w:qFormat/>
    <w:uiPriority w:val="1"/>
    <w:pPr>
      <w:spacing w:before="166"/>
      <w:ind w:left="384" w:firstLine="640"/>
      <w:jc w:val="both"/>
    </w:pPr>
  </w:style>
  <w:style w:type="paragraph" w:customStyle="1" w:styleId="18">
    <w:name w:val="Table Paragraph"/>
    <w:basedOn w:val="1"/>
    <w:qFormat/>
    <w:uiPriority w:val="1"/>
  </w:style>
  <w:style w:type="character" w:customStyle="1" w:styleId="19">
    <w:name w:val="批注框文本 字符"/>
    <w:basedOn w:val="11"/>
    <w:link w:val="6"/>
    <w:semiHidden/>
    <w:qFormat/>
    <w:uiPriority w:val="99"/>
    <w:rPr>
      <w:rFonts w:ascii="仿宋_GB2312" w:hAnsi="仿宋_GB2312" w:eastAsia="仿宋_GB2312" w:cs="仿宋_GB2312"/>
      <w:kern w:val="0"/>
      <w:sz w:val="18"/>
      <w:szCs w:val="18"/>
      <w:lang w:val="zh-CN" w:bidi="zh-CN"/>
    </w:rPr>
  </w:style>
  <w:style w:type="character" w:customStyle="1" w:styleId="20">
    <w:name w:val="批注主题 字符"/>
    <w:basedOn w:val="15"/>
    <w:link w:val="9"/>
    <w:semiHidden/>
    <w:qFormat/>
    <w:uiPriority w:val="99"/>
    <w:rPr>
      <w:rFonts w:ascii="仿宋_GB2312" w:hAnsi="仿宋_GB2312" w:eastAsia="仿宋_GB2312" w:cs="仿宋_GB2312"/>
      <w:b/>
      <w:bCs/>
      <w:kern w:val="0"/>
      <w:sz w:val="22"/>
      <w:lang w:val="zh-CN" w:bidi="zh-CN"/>
    </w:rPr>
  </w:style>
  <w:style w:type="character" w:customStyle="1" w:styleId="21">
    <w:name w:val="页眉 字符"/>
    <w:basedOn w:val="11"/>
    <w:link w:val="8"/>
    <w:qFormat/>
    <w:uiPriority w:val="99"/>
    <w:rPr>
      <w:rFonts w:ascii="仿宋_GB2312" w:hAnsi="仿宋_GB2312" w:eastAsia="仿宋_GB2312" w:cs="仿宋_GB2312"/>
      <w:sz w:val="18"/>
      <w:szCs w:val="18"/>
      <w:lang w:val="zh-CN" w:bidi="zh-CN"/>
    </w:rPr>
  </w:style>
  <w:style w:type="character" w:customStyle="1" w:styleId="22">
    <w:name w:val="页脚 字符"/>
    <w:basedOn w:val="11"/>
    <w:link w:val="7"/>
    <w:qFormat/>
    <w:uiPriority w:val="99"/>
    <w:rPr>
      <w:rFonts w:ascii="仿宋_GB2312" w:hAnsi="仿宋_GB2312" w:eastAsia="仿宋_GB2312" w:cs="仿宋_GB2312"/>
      <w:sz w:val="18"/>
      <w:szCs w:val="18"/>
      <w:lang w:val="zh-CN" w:bidi="zh-CN"/>
    </w:rPr>
  </w:style>
  <w:style w:type="paragraph" w:customStyle="1" w:styleId="23">
    <w:name w:val="修订1"/>
    <w:hidden/>
    <w:semiHidden/>
    <w:qFormat/>
    <w:uiPriority w:val="99"/>
    <w:rPr>
      <w:rFonts w:ascii="仿宋_GB2312" w:hAnsi="仿宋_GB2312" w:eastAsia="仿宋_GB2312" w:cs="仿宋_GB2312"/>
      <w:sz w:val="22"/>
      <w:szCs w:val="22"/>
      <w:lang w:val="zh-CN" w:eastAsia="zh-CN" w:bidi="zh-CN"/>
    </w:rPr>
  </w:style>
  <w:style w:type="paragraph" w:customStyle="1" w:styleId="24">
    <w:name w:val="修订2"/>
    <w:hidden/>
    <w:unhideWhenUsed/>
    <w:qFormat/>
    <w:uiPriority w:val="99"/>
    <w:rPr>
      <w:rFonts w:ascii="仿宋_GB2312" w:hAnsi="仿宋_GB2312" w:eastAsia="仿宋_GB2312" w:cs="仿宋_GB2312"/>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20</Pages>
  <Words>8013</Words>
  <Characters>8155</Characters>
  <Lines>61</Lines>
  <Paragraphs>17</Paragraphs>
  <TotalTime>0</TotalTime>
  <ScaleCrop>false</ScaleCrop>
  <LinksUpToDate>false</LinksUpToDate>
  <CharactersWithSpaces>8335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2025-03-17T02:01:00Z</dcterms:created>
  <dc:creator>USER-</dc:creator>
  <cp:lastModifiedBy>陈柳莹</cp:lastModifiedBy>
  <cp:lastPrinted>2025-03-13T08:48:00Z</cp:lastPrinted>
  <dcterms:modified xsi:type="dcterms:W3CDTF">2025-03-17T02:58:22Z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D14556447F3B4DC1995719C175E0900B_13</vt:lpwstr>
  </property>
  <property fmtid="{D5CDD505-2E9C-101B-9397-08002B2CF9AE}" pid="4" name="KSOTemplateDocerSaveRecord">
    <vt:lpwstr>eyJoZGlkIjoiYTU0YWUyZmE0ZWZmNzI0ZDBhZDk5MjQ5NDhlY2Y5MDMiLCJ1c2VySWQiOiI1Mjk4MjE2MzcifQ==</vt:lpwstr>
  </property>
</Properties>
</file>