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55" w:lineRule="exact"/>
        <w:ind w:left="0" w:right="0"/>
        <w:jc w:val="center"/>
        <w:outlineLvl w:val="0"/>
      </w:pPr>
      <w:r>
        <w:rPr>
          <w:rFonts w:ascii="方正小标宋简体" w:hAnsi="宋体" w:eastAsia="方正小标宋简体" w:cs="宋体"/>
          <w:color w:val="000000"/>
          <w:spacing w:val="0"/>
          <w:sz w:val="43"/>
          <w:szCs w:val="43"/>
          <w:shd w:val="clear" w:fill="FFFFFF"/>
        </w:rPr>
        <w:t>华南农业大学境外基金准入管理办法（试行）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55" w:lineRule="exact"/>
        <w:ind w:left="0" w:right="0"/>
        <w:jc w:val="center"/>
        <w:outlineLvl w:val="0"/>
      </w:pPr>
      <w:r>
        <w:rPr>
          <w:rStyle w:val="5"/>
          <w:rFonts w:hint="eastAsia" w:ascii="宋体" w:hAnsi="宋体" w:eastAsia="宋体" w:cs="宋体"/>
          <w:bC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bookmarkStart w:id="0" w:name="_GoBack"/>
      <w:r>
        <w:rPr>
          <w:rStyle w:val="5"/>
          <w:rFonts w:ascii="仿宋_gb2312" w:hAnsi="Times New Roman" w:eastAsia="仿宋_gb2312" w:cs="Times New Roman"/>
          <w:bCs w:val="0"/>
          <w:color w:val="000000"/>
          <w:kern w:val="1"/>
          <w:sz w:val="31"/>
          <w:szCs w:val="24"/>
          <w:bdr w:val="none" w:color="auto" w:sz="0" w:space="0"/>
          <w:shd w:val="clear" w:fill="FFFFFF"/>
          <w:lang w:val="en-US" w:eastAsia="zh-CN" w:bidi="ar"/>
        </w:rPr>
        <w:t>华南农办〔</w:t>
      </w:r>
      <w:r>
        <w:rPr>
          <w:rStyle w:val="5"/>
          <w:rFonts w:hint="default" w:ascii="Times New Roman" w:hAnsi="Times New Roman" w:eastAsia="仿宋_gb2312" w:cs="Times New Roman"/>
          <w:bCs w:val="0"/>
          <w:color w:val="000000"/>
          <w:kern w:val="1"/>
          <w:sz w:val="31"/>
          <w:szCs w:val="24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Style w:val="5"/>
          <w:rFonts w:hint="default" w:ascii="仿宋_gb2312" w:hAnsi="Times New Roman" w:eastAsia="仿宋_gb2312" w:cs="Times New Roman"/>
          <w:bCs w:val="0"/>
          <w:color w:val="000000"/>
          <w:kern w:val="1"/>
          <w:sz w:val="31"/>
          <w:szCs w:val="24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Style w:val="5"/>
          <w:rFonts w:hint="default" w:ascii="Times New Roman" w:hAnsi="Times New Roman" w:eastAsia="仿宋_gb2312" w:cs="Times New Roman"/>
          <w:bCs w:val="0"/>
          <w:color w:val="000000"/>
          <w:kern w:val="1"/>
          <w:sz w:val="31"/>
          <w:szCs w:val="24"/>
          <w:bdr w:val="none" w:color="auto" w:sz="0" w:space="0"/>
          <w:shd w:val="clear" w:fill="FFFFFF"/>
          <w:lang w:val="en-US" w:eastAsia="zh-CN" w:bidi="ar"/>
        </w:rPr>
        <w:t>124</w:t>
      </w:r>
      <w:r>
        <w:rPr>
          <w:rStyle w:val="5"/>
          <w:rFonts w:hint="default" w:ascii="仿宋_gb2312" w:hAnsi="Times New Roman" w:eastAsia="仿宋_gb2312" w:cs="Times New Roman"/>
          <w:bCs w:val="0"/>
          <w:color w:val="000000"/>
          <w:kern w:val="1"/>
          <w:sz w:val="31"/>
          <w:szCs w:val="24"/>
          <w:bdr w:val="none" w:color="auto" w:sz="0" w:space="0"/>
          <w:shd w:val="clear" w:fill="FFFFFF"/>
          <w:lang w:val="en-US" w:eastAsia="zh-CN" w:bidi="ar"/>
        </w:rPr>
        <w:t>号</w:t>
      </w:r>
    </w:p>
    <w:bookmarkEnd w:id="0"/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第一章</w:t>
      </w: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 xml:space="preserve">  </w:t>
      </w: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总</w:t>
      </w: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 xml:space="preserve">  </w:t>
      </w: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则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第一条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 xml:space="preserve"> 为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/>
        </w:rPr>
        <w:t>全面贯彻党的十九大精神，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落实中央和上级党委政治安全责任制度工作要求，</w:t>
      </w:r>
      <w:r>
        <w:rPr>
          <w:rFonts w:hint="default" w:ascii="仿宋_gb2312" w:hAnsi="仿宋" w:eastAsia="仿宋_gb2312" w:cs="仿宋_gb2312"/>
          <w:color w:val="000000"/>
          <w:spacing w:val="0"/>
          <w:sz w:val="31"/>
          <w:szCs w:val="31"/>
          <w:shd w:val="clear" w:fill="FFFFFF"/>
          <w:lang/>
        </w:rPr>
        <w:t>以习近平新时代中国特色社会主义思想为指导，进一步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规范学校涉外交流合作项目的基金管理，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依据《政治安全责任制度实施办法》（</w:t>
      </w:r>
      <w:r>
        <w:rPr>
          <w:rFonts w:hint="default" w:ascii="仿宋_gb2312" w:hAnsi="仿宋_gb2312" w:eastAsia="仿宋_gb2312" w:cs="仿宋_gb2312"/>
          <w:color w:val="000000"/>
          <w:sz w:val="31"/>
          <w:szCs w:val="24"/>
          <w:shd w:val="clear" w:fill="FFFFFF"/>
        </w:rPr>
        <w:t>华农党发〔</w:t>
      </w:r>
      <w:r>
        <w:rPr>
          <w:rFonts w:hint="default" w:ascii="Times New Roman" w:hAnsi="Times New Roman" w:eastAsia="仿宋_gb2312" w:cs="Times New Roman"/>
          <w:color w:val="000000"/>
          <w:sz w:val="31"/>
          <w:szCs w:val="24"/>
          <w:shd w:val="clear" w:fill="FFFFFF"/>
          <w:lang w:val="en-US"/>
        </w:rPr>
        <w:t>2018</w:t>
      </w:r>
      <w:r>
        <w:rPr>
          <w:rFonts w:hint="default" w:ascii="仿宋_gb2312" w:hAnsi="仿宋_gb2312" w:eastAsia="仿宋_gb2312" w:cs="仿宋_gb2312"/>
          <w:color w:val="000000"/>
          <w:sz w:val="31"/>
          <w:szCs w:val="24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1"/>
          <w:szCs w:val="24"/>
          <w:shd w:val="clear" w:fill="FFFFFF"/>
          <w:lang w:val="en-US"/>
        </w:rPr>
        <w:t>59</w:t>
      </w:r>
      <w:r>
        <w:rPr>
          <w:rFonts w:hint="default" w:ascii="仿宋_gb2312" w:hAnsi="仿宋_gb2312" w:eastAsia="仿宋_gb2312" w:cs="仿宋_gb2312"/>
          <w:color w:val="000000"/>
          <w:sz w:val="31"/>
          <w:szCs w:val="24"/>
          <w:shd w:val="clear" w:fill="FFFFFF"/>
        </w:rPr>
        <w:t>号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）和《涉外交流合作管理办法》（</w:t>
      </w:r>
      <w:r>
        <w:rPr>
          <w:rFonts w:hint="default" w:ascii="仿宋_gb2312" w:hAnsi="仿宋_gb2312" w:eastAsia="仿宋_gb2312" w:cs="仿宋_gb2312"/>
          <w:color w:val="000000"/>
          <w:sz w:val="31"/>
          <w:szCs w:val="24"/>
          <w:shd w:val="clear" w:fill="FFFFFF"/>
        </w:rPr>
        <w:t>华农党发〔</w:t>
      </w:r>
      <w:r>
        <w:rPr>
          <w:rFonts w:hint="default" w:ascii="Times New Roman" w:hAnsi="Times New Roman" w:eastAsia="仿宋_gb2312" w:cs="Times New Roman"/>
          <w:color w:val="000000"/>
          <w:sz w:val="31"/>
          <w:szCs w:val="24"/>
          <w:shd w:val="clear" w:fill="FFFFFF"/>
          <w:lang w:val="en-US"/>
        </w:rPr>
        <w:t>2018</w:t>
      </w:r>
      <w:r>
        <w:rPr>
          <w:rFonts w:hint="default" w:ascii="仿宋_gb2312" w:hAnsi="仿宋_gb2312" w:eastAsia="仿宋_gb2312" w:cs="仿宋_gb2312"/>
          <w:color w:val="000000"/>
          <w:sz w:val="31"/>
          <w:szCs w:val="24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1"/>
          <w:szCs w:val="24"/>
          <w:shd w:val="clear" w:fill="FFFFFF"/>
          <w:lang w:val="en-US"/>
        </w:rPr>
        <w:t>64</w:t>
      </w:r>
      <w:r>
        <w:rPr>
          <w:rFonts w:hint="default" w:ascii="仿宋_gb2312" w:hAnsi="仿宋_gb2312" w:eastAsia="仿宋_gb2312" w:cs="仿宋_gb2312"/>
          <w:color w:val="000000"/>
          <w:sz w:val="31"/>
          <w:szCs w:val="24"/>
          <w:shd w:val="clear" w:fill="FFFFFF"/>
        </w:rPr>
        <w:t>号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）精神，特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制定本办法。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第二条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 xml:space="preserve"> 境外基金是指由境外组织或个人提供，用于支持学校基础建设、教学科研、访学交流、奖学助学等方面的基金。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第三条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学校鼓励开展正常的国际学术交流与合作，但各单位、教师或学生在接受境外基金资助时，应牢固树立国家和科研安全意识，不得开展危害校园政治安全和社会稳定的交流合作项目。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第四条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涉外交流合作项目实行项目负责人制，坚持学校党委统一领导、职能部门归口管理以及“谁开展、谁负责”的原则。项目负责人对境外基金使用的合规性、合理性、真实性和相关性承担法律责任和经济责任。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第二章</w:t>
      </w: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 xml:space="preserve">  </w:t>
      </w: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准入范围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第五条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 xml:space="preserve"> 与境外政府机构和部门、境外非政府组织及个人开展正常的国际学术交流与合作，可以接受其资助。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第六条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 xml:space="preserve"> 对有敌对势力介入的境外组织要坚决抵制，不得接受其资助，已经接受资助的要及时查清情况，终止合作；对涉及敏感问题、国家安全信息和以了解重要资源信息为目的的研究和调查项目基金，一律不予接受。未经审批擅自接受境外基金资助的，应原渠道退回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第三章</w:t>
      </w: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 xml:space="preserve">  </w:t>
      </w: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审批管理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第七条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 xml:space="preserve"> 申请境外基金资助的单位或个人必须认真填写《华南农业大学境外基金准入审批表》，并提供完整的基金背景资料（基金会章程、资助目的等）。境外政府资助的项目，要注明是否有政府间合作协议。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第八条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 xml:space="preserve"> 建立健全审批制度，学校有关职能部门按归口管理的原则，对拟开展的涉外交流合作内容、主办单位、承办单位、组织者、境外合作方（组织、机构、单位和个人）、参与人员、资金来源、成果运用等关键环节和要素要严格把关。未经批准一律不得开展有关活动，不得对该项目认定科研工作量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与境外政府机构、部门开展科研项目、课题研究和社会调查等科研活动的，归口科学技术处或人文社会科学处审批；</w:t>
      </w:r>
      <w:r>
        <w:rPr>
          <w:rFonts w:hint="default" w:ascii="仿宋_gb2312" w:hAnsi="宋体" w:eastAsia="仿宋_gb2312" w:cs="仿宋_gb2312"/>
          <w:color w:val="000000"/>
          <w:spacing w:val="0"/>
          <w:kern w:val="0"/>
          <w:sz w:val="31"/>
          <w:szCs w:val="31"/>
          <w:shd w:val="clear" w:fill="FFFFFF"/>
        </w:rPr>
        <w:t>开展教学活动的，归口教务处审批；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捐赠学校基础建设及学生奖学助学的，归口教育发展基金会审批；教师访学交流的，归口人事处审批。职能部门审批后报国际交流处（港澳台事务办公室）备案。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与境外非政府组织合作开展的交流合作项目，申请人须提供境外合作方的详细背景资料，依次经国际交流处（港澳台事务办公室）、党委办公室审核，审核通过后再报职能部门归口审批；开展科研项目、课题研究和社会调查等科研活动的，归口科学技术处或人文社会科学处审批；</w:t>
      </w:r>
      <w:r>
        <w:rPr>
          <w:rFonts w:hint="default" w:ascii="仿宋_gb2312" w:hAnsi="宋体" w:eastAsia="仿宋_gb2312" w:cs="仿宋_gb2312"/>
          <w:color w:val="000000"/>
          <w:spacing w:val="0"/>
          <w:kern w:val="0"/>
          <w:sz w:val="31"/>
          <w:szCs w:val="31"/>
          <w:shd w:val="clear" w:fill="FFFFFF"/>
        </w:rPr>
        <w:t>开展教学活动的，归口教务处审批；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捐赠学校基础建设及学生奖学助学的，归口教育发展基金会审批；教师访学交流的，归口人事处审批。签订合作合同后须再报国际交流处（港澳台事务办公室）备案。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default" w:ascii="仿宋_gb2312" w:hAnsi="仿宋" w:eastAsia="仿宋_gb2312" w:cs="仿宋_gb2312"/>
          <w:color w:val="000000"/>
          <w:spacing w:val="0"/>
          <w:sz w:val="31"/>
          <w:szCs w:val="31"/>
          <w:shd w:val="clear" w:fill="FFFFFF"/>
        </w:rPr>
        <w:t>与境外科研机构、教学机构、企业或个人合作开展科研项目、课题研究和社会调查</w:t>
      </w:r>
      <w:r>
        <w:rPr>
          <w:rFonts w:hint="default" w:ascii="仿宋_gb2312" w:hAnsi="宋体" w:eastAsia="仿宋_gb2312" w:cs="仿宋_gb2312"/>
          <w:color w:val="000000"/>
          <w:spacing w:val="0"/>
          <w:kern w:val="0"/>
          <w:sz w:val="31"/>
          <w:szCs w:val="31"/>
          <w:shd w:val="clear" w:fill="FFFFFF"/>
        </w:rPr>
        <w:t>等科研活动的，归口科学技术处或人文社会科学处审批；开展教学活动的，归口教务处审批。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_gb2312" w:cs="仿宋"/>
          <w:color w:val="000000"/>
          <w:spacing w:val="0"/>
          <w:sz w:val="31"/>
          <w:szCs w:val="31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第四章</w:t>
      </w: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</w:rPr>
        <w:t xml:space="preserve"> </w:t>
      </w: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基金使用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第九条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境外基金必须纳入学校财务统一管理，严格执行国家有关法律法规和财务规章制度及学校规章制度规定。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境外基金有约定用途的，按规定用途使用；没有约定用途的，由项目负责人根据项目活动和研究需要自主安排使用。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  <w:jc w:val="left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第十一条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境外基金实行银行备案管理。接受境外基金资助的单位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>/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个人及时将备案材料送财务处报银行备案，备案成功后银行将境外基金转入学校银行账户，未备案或备案不及时银行将把境外基金原渠道退回汇款方。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  <w:jc w:val="left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备案材料包括：（</w:t>
      </w:r>
      <w:r>
        <w:rPr>
          <w:rFonts w:hint="default" w:ascii="Times New Roman" w:hAnsi="Times New Roman" w:eastAsia="仿宋" w:cs="Times New Roman"/>
          <w:color w:val="000000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）合同书；（</w:t>
      </w:r>
      <w:r>
        <w:rPr>
          <w:rFonts w:hint="default" w:ascii="Times New Roman" w:hAnsi="Times New Roman" w:eastAsia="仿宋" w:cs="Times New Roman"/>
          <w:color w:val="000000"/>
          <w:spacing w:val="0"/>
          <w:sz w:val="31"/>
          <w:szCs w:val="31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）人民币</w:t>
      </w:r>
      <w:r>
        <w:rPr>
          <w:rFonts w:hint="default" w:ascii="Times New Roman" w:hAnsi="Times New Roman" w:eastAsia="仿宋" w:cs="Times New Roman"/>
          <w:color w:val="000000"/>
          <w:spacing w:val="0"/>
          <w:sz w:val="31"/>
          <w:szCs w:val="31"/>
          <w:shd w:val="clear" w:fill="FFFFFF"/>
          <w:lang w:val="en-US"/>
        </w:rPr>
        <w:t>50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万元以上（含）的提供发票；（</w:t>
      </w:r>
      <w:r>
        <w:rPr>
          <w:rFonts w:hint="default" w:ascii="Times New Roman" w:hAnsi="Times New Roman" w:eastAsia="仿宋" w:cs="Times New Roman"/>
          <w:color w:val="000000"/>
          <w:spacing w:val="0"/>
          <w:sz w:val="31"/>
          <w:szCs w:val="31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）银行要求提供的其他相关材料。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第十二条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境外基金到校后，由经办人持《华南农业大学境外基金准入审批表》、归口职能部门开具的《经费入账通知单》到财务处办理项目立项、基金入账手续。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第十三条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境外基金不得列支以下支出：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（一）装饰品、家庭生活日用品、美容化妆品等；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（二）罚款、捐赠、赞助、投资等；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（三）休闲娱乐和旅游运动等场所发生的费用；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（四）其他与科研工作没有直接相关性的支出；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（五）不符合财务规章制度规定的支出。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第十四条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境外基金资助的科研项目，项目负责人调离、辞职、身故、被学校辞退、解除聘用或开除的，应及时办理项目负责人交接手续，转给项目组中本校在编在岗人员继续执行该项目；不进行交接的，将不给予其办理离校手续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第五章</w:t>
      </w: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 xml:space="preserve">  </w:t>
      </w: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附</w:t>
      </w:r>
      <w:r>
        <w:rPr>
          <w:rStyle w:val="5"/>
          <w:rFonts w:hint="default" w:ascii="Times New Roman" w:hAnsi="Times New Roman" w:eastAsia="å¯°î†¿è’‹é—†å‘´ç²¦" w:cs="Times New Roman"/>
          <w:bCs w:val="0"/>
          <w:color w:val="000000"/>
          <w:sz w:val="31"/>
          <w:szCs w:val="31"/>
          <w:bdr w:val="none" w:color="auto" w:sz="0" w:space="0"/>
          <w:shd w:val="clear" w:fill="FFFFFF"/>
          <w:lang w:val="en-US"/>
        </w:rPr>
        <w:t xml:space="preserve">  </w:t>
      </w:r>
      <w:r>
        <w:rPr>
          <w:rStyle w:val="5"/>
          <w:rFonts w:hint="eastAsia" w:ascii="Times New Roman" w:hAnsi="Times New Roman" w:eastAsia="宋体" w:cs="宋体"/>
          <w:bCs w:val="0"/>
          <w:color w:val="000000"/>
          <w:sz w:val="31"/>
          <w:szCs w:val="31"/>
          <w:bdr w:val="none" w:color="auto" w:sz="0" w:space="0"/>
          <w:shd w:val="clear" w:fill="FFFFFF"/>
        </w:rPr>
        <w:t>则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/>
        <w:jc w:val="center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第十五条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本办法由财务处、国际交流处（港澳台事务办公室）、党委办公室、教务处、科学技术处、人文社会科学处等职能部门负责解释。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2" w:firstLineChars="200"/>
      </w:pPr>
      <w:r>
        <w:rPr>
          <w:rStyle w:val="5"/>
          <w:rFonts w:hint="eastAsia" w:ascii="仿宋" w:hAnsi="仿宋" w:eastAsia="仿宋" w:cs="仿宋"/>
          <w:bC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第十六条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本办法自印发之日起施行；学校其他有关规定与本办法不一致的，以本办法为准。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0" w:right="0" w:firstLine="630" w:firstLineChars="200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附件：</w:t>
      </w:r>
      <w:r>
        <w:rPr>
          <w:rFonts w:hint="default" w:ascii="Times New Roman" w:hAnsi="Times New Roman" w:eastAsia="仿宋" w:cs="Times New Roman"/>
          <w:color w:val="000000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.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华南农业大学境外基金准入审批表（政府机构）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120" w:right="0" w:firstLine="1575" w:firstLineChars="500"/>
      </w:pPr>
      <w:r>
        <w:rPr>
          <w:rFonts w:hint="default" w:ascii="Times New Roman" w:hAnsi="Times New Roman" w:eastAsia="仿宋" w:cs="Times New Roman"/>
          <w:color w:val="000000"/>
          <w:spacing w:val="0"/>
          <w:sz w:val="31"/>
          <w:szCs w:val="31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.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华南农业大学境外基金准入审批表（非政府机构）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1486" w:right="0" w:firstLine="201" w:firstLineChars="64"/>
      </w:pPr>
      <w:r>
        <w:rPr>
          <w:rFonts w:hint="default" w:ascii="Times New Roman" w:hAnsi="Times New Roman" w:eastAsia="仿宋" w:cs="Times New Roman"/>
          <w:color w:val="000000"/>
          <w:spacing w:val="0"/>
          <w:sz w:val="31"/>
          <w:szCs w:val="31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  <w:lang w:val="en-US"/>
        </w:rPr>
        <w:t xml:space="preserve">. </w:t>
      </w: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华南农业大学境外基金准入审批表（科研机构、</w:t>
      </w:r>
    </w:p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525" w:lineRule="exact"/>
        <w:ind w:left="1486" w:right="0" w:firstLine="674" w:firstLineChars="214"/>
      </w:pPr>
      <w:r>
        <w:rPr>
          <w:rFonts w:hint="eastAsia" w:ascii="仿宋" w:hAnsi="仿宋" w:eastAsia="仿宋" w:cs="仿宋"/>
          <w:color w:val="000000"/>
          <w:spacing w:val="0"/>
          <w:sz w:val="31"/>
          <w:szCs w:val="31"/>
          <w:shd w:val="clear" w:fill="FFFFFF"/>
        </w:rPr>
        <w:t>教学机构、企业、个人）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¯°î†¿è’‹é—†å‘´ç²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65864"/>
    <w:rsid w:val="16B65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333333"/>
      <w:sz w:val="18"/>
      <w:szCs w:val="18"/>
      <w:u w:val="none"/>
      <w:bdr w:val="none" w:color="auto" w:sz="0" w:space="0"/>
    </w:rPr>
  </w:style>
  <w:style w:type="character" w:styleId="7">
    <w:name w:val="Hyperlink"/>
    <w:basedOn w:val="4"/>
    <w:uiPriority w:val="0"/>
    <w:rPr>
      <w:color w:val="333333"/>
      <w:sz w:val="18"/>
      <w:szCs w:val="18"/>
      <w:u w:val="none"/>
      <w:bdr w:val="none" w:color="auto" w:sz="0" w:space="0"/>
    </w:rPr>
  </w:style>
  <w:style w:type="character" w:customStyle="1" w:styleId="8">
    <w:name w:val="item-name"/>
    <w:basedOn w:val="4"/>
    <w:uiPriority w:val="0"/>
    <w:rPr>
      <w:bdr w:val="none" w:color="auto" w:sz="0" w:space="0"/>
    </w:rPr>
  </w:style>
  <w:style w:type="character" w:customStyle="1" w:styleId="9">
    <w:name w:val="item-name1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2020-05-22T02:39:00Z</dcterms:created>
  <dc:creator>effie</dc:creator>
  <cp:lastModifiedBy>effie</cp:lastModifiedBy>
  <dcterms:modified xsi:type="dcterms:W3CDTF">2020-05-22T02:40:14Z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